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85C78" w14:textId="77777777" w:rsidR="00BA1794" w:rsidRDefault="00BA1794" w:rsidP="00BA1794">
      <w:pPr>
        <w:rPr>
          <w:rFonts w:ascii="Times New Roman" w:hAnsi="Times New Roman" w:cs="Times New Roman"/>
        </w:rPr>
      </w:pPr>
    </w:p>
    <w:p w14:paraId="0E701288" w14:textId="77777777" w:rsidR="00BA1794" w:rsidRDefault="00BA1794" w:rsidP="00BA1794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0E8F078" wp14:editId="635E1BE9">
            <wp:extent cx="5486400" cy="7101840"/>
            <wp:effectExtent l="0" t="0" r="0" b="3810"/>
            <wp:docPr id="10580295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0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3A1F3" w14:textId="77777777" w:rsidR="00BA1794" w:rsidRDefault="00BA1794" w:rsidP="00BA1794">
      <w:pPr>
        <w:rPr>
          <w:rFonts w:ascii="Times New Roman" w:hAnsi="Times New Roman" w:cs="Times New Roman"/>
        </w:rPr>
      </w:pPr>
      <w:r w:rsidRPr="00E445BE">
        <w:rPr>
          <w:b/>
          <w:bCs/>
          <w:spacing w:val="2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</w:rPr>
        <w:t>4</w:t>
      </w:r>
      <w:r>
        <w:rPr>
          <w:rFonts w:ascii="Times New Roman" w:hAnsi="Times New Roman" w:cs="Times New Roman" w:hint="eastAsia"/>
        </w:rPr>
        <w:t xml:space="preserve"> </w:t>
      </w:r>
      <w:r w:rsidRPr="009A082E">
        <w:rPr>
          <w:rFonts w:ascii="Times New Roman" w:hAnsi="Times New Roman" w:cs="Times New Roman"/>
        </w:rPr>
        <w:t>Sensitivity analysis of BAPC projections for crude incidence and mortality rates of bladder cancer in China, 2024–2030, using alternative smoothing-prior specifications.</w:t>
      </w:r>
    </w:p>
    <w:p w14:paraId="306730FE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E9"/>
    <w:rsid w:val="004244E6"/>
    <w:rsid w:val="0067415F"/>
    <w:rsid w:val="009D6BCE"/>
    <w:rsid w:val="00BA1794"/>
    <w:rsid w:val="00CF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38C02B-6D1A-4235-B56C-E9AAFDFE7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6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6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6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6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6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6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6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6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6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6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6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6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6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6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6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6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6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6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2026-09-18T03:26:00Z</dcterms:created>
  <dcterms:modified xsi:type="dcterms:W3CDTF">2026-09-18T03:26:00Z</dcterms:modified>
</cp:coreProperties>
</file>