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A150A" w14:textId="77777777" w:rsidR="00AA3F42" w:rsidRDefault="00AA3F42" w:rsidP="00AA3F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7</w:t>
      </w:r>
      <w:r w:rsidRPr="000D67DF">
        <w:rPr>
          <w:rFonts w:ascii="Times New Roman" w:hAnsi="Times New Roman" w:cs="Times New Roman"/>
          <w:b/>
          <w:bCs/>
        </w:rPr>
        <w:t xml:space="preserve"> </w:t>
      </w:r>
      <w:r w:rsidRPr="002330BE">
        <w:rPr>
          <w:rFonts w:ascii="Times New Roman" w:hAnsi="Times New Roman" w:cs="Times New Roman"/>
        </w:rPr>
        <w:t>Diagnostic statistics for the BAPC projection models.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1"/>
        <w:gridCol w:w="864"/>
        <w:gridCol w:w="1376"/>
        <w:gridCol w:w="2391"/>
        <w:gridCol w:w="1389"/>
      </w:tblGrid>
      <w:tr w:rsidR="00AA3F42" w:rsidRPr="00574D9E" w14:paraId="4E4B0387" w14:textId="77777777" w:rsidTr="00875B8A">
        <w:trPr>
          <w:trHeight w:val="306"/>
          <w:jc w:val="center"/>
        </w:trPr>
        <w:tc>
          <w:tcPr>
            <w:tcW w:w="1031" w:type="dxa"/>
            <w:vAlign w:val="center"/>
          </w:tcPr>
          <w:p w14:paraId="034604E4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Measure</w:t>
            </w:r>
          </w:p>
        </w:tc>
        <w:tc>
          <w:tcPr>
            <w:tcW w:w="864" w:type="dxa"/>
            <w:vAlign w:val="center"/>
          </w:tcPr>
          <w:p w14:paraId="303653A7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rPr>
                <w:b/>
                <w:bCs/>
              </w:rPr>
              <w:t>Sex</w:t>
            </w:r>
          </w:p>
        </w:tc>
        <w:tc>
          <w:tcPr>
            <w:tcW w:w="1376" w:type="dxa"/>
            <w:vAlign w:val="center"/>
          </w:tcPr>
          <w:p w14:paraId="2F3409AF" w14:textId="77777777" w:rsidR="00AA3F42" w:rsidRPr="00FC4369" w:rsidRDefault="00AA3F42" w:rsidP="00875B8A">
            <w:pPr>
              <w:jc w:val="center"/>
              <w:rPr>
                <w:b/>
                <w:bCs/>
              </w:rPr>
            </w:pPr>
            <w:r w:rsidRPr="00FC4369">
              <w:rPr>
                <w:b/>
                <w:bCs/>
              </w:rPr>
              <w:t>DIC</w:t>
            </w:r>
          </w:p>
        </w:tc>
        <w:tc>
          <w:tcPr>
            <w:tcW w:w="2391" w:type="dxa"/>
            <w:vAlign w:val="center"/>
          </w:tcPr>
          <w:p w14:paraId="7A644B26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</w:rPr>
              <w:t>P</w:t>
            </w:r>
            <w:r w:rsidRPr="00C1003D">
              <w:rPr>
                <w:b/>
                <w:bCs/>
              </w:rPr>
              <w:t>roportion of |Pearson residual| &gt; 3</w:t>
            </w:r>
          </w:p>
        </w:tc>
        <w:tc>
          <w:tcPr>
            <w:tcW w:w="1389" w:type="dxa"/>
            <w:vAlign w:val="center"/>
          </w:tcPr>
          <w:p w14:paraId="74A3E311" w14:textId="77777777" w:rsidR="00AA3F42" w:rsidRPr="00574D9E" w:rsidRDefault="00AA3F42" w:rsidP="00875B8A">
            <w:pPr>
              <w:jc w:val="center"/>
              <w:rPr>
                <w:b/>
                <w:bCs/>
              </w:rPr>
            </w:pPr>
            <w:r w:rsidRPr="00FC4369">
              <w:rPr>
                <w:b/>
                <w:bCs/>
              </w:rPr>
              <w:t>Observed-versus-fitted rate MAPE</w:t>
            </w:r>
            <w:r w:rsidRPr="00C1003D">
              <w:rPr>
                <w:b/>
                <w:bCs/>
              </w:rPr>
              <w:t xml:space="preserve"> </w:t>
            </w:r>
          </w:p>
        </w:tc>
      </w:tr>
      <w:tr w:rsidR="00AA3F42" w:rsidRPr="00574D9E" w14:paraId="7E2059F8" w14:textId="77777777" w:rsidTr="00875B8A">
        <w:trPr>
          <w:trHeight w:val="306"/>
          <w:jc w:val="center"/>
        </w:trPr>
        <w:tc>
          <w:tcPr>
            <w:tcW w:w="1031" w:type="dxa"/>
            <w:vMerge w:val="restart"/>
            <w:vAlign w:val="center"/>
          </w:tcPr>
          <w:p w14:paraId="2ED331BA" w14:textId="77777777" w:rsidR="00AA3F42" w:rsidRPr="00574D9E" w:rsidRDefault="00AA3F42" w:rsidP="00875B8A">
            <w:pPr>
              <w:rPr>
                <w:sz w:val="24"/>
              </w:rPr>
            </w:pPr>
            <w:r w:rsidRPr="00574D9E">
              <w:t>ASIR</w:t>
            </w:r>
          </w:p>
        </w:tc>
        <w:tc>
          <w:tcPr>
            <w:tcW w:w="864" w:type="dxa"/>
            <w:vAlign w:val="center"/>
          </w:tcPr>
          <w:p w14:paraId="772784AF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1376" w:type="dxa"/>
          </w:tcPr>
          <w:p w14:paraId="421A1ECB" w14:textId="77777777" w:rsidR="00AA3F42" w:rsidRPr="00FC4369" w:rsidRDefault="00AA3F42" w:rsidP="00875B8A">
            <w:pPr>
              <w:jc w:val="center"/>
            </w:pPr>
            <w:r w:rsidRPr="00FC4369">
              <w:t>-8415.80</w:t>
            </w:r>
          </w:p>
        </w:tc>
        <w:tc>
          <w:tcPr>
            <w:tcW w:w="2391" w:type="dxa"/>
            <w:vAlign w:val="center"/>
          </w:tcPr>
          <w:p w14:paraId="7F1C16E7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0.02</w:t>
            </w:r>
          </w:p>
        </w:tc>
        <w:tc>
          <w:tcPr>
            <w:tcW w:w="1389" w:type="dxa"/>
            <w:vAlign w:val="center"/>
          </w:tcPr>
          <w:p w14:paraId="73A78EDB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2.7</w:t>
            </w:r>
            <w:r>
              <w:rPr>
                <w:rFonts w:ascii="Calibri" w:hAnsi="Calibri" w:cs="Calibri" w:hint="eastAsia"/>
                <w:color w:val="000000"/>
                <w:szCs w:val="22"/>
              </w:rPr>
              <w:t>6</w:t>
            </w:r>
          </w:p>
        </w:tc>
      </w:tr>
      <w:tr w:rsidR="00AA3F42" w:rsidRPr="00574D9E" w14:paraId="75B79824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3A288D62" w14:textId="77777777" w:rsidR="00AA3F42" w:rsidRPr="00574D9E" w:rsidRDefault="00AA3F42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40C4C00B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1376" w:type="dxa"/>
          </w:tcPr>
          <w:p w14:paraId="57083EDC" w14:textId="77777777" w:rsidR="00AA3F42" w:rsidRPr="00FC4369" w:rsidRDefault="00AA3F42" w:rsidP="00875B8A">
            <w:pPr>
              <w:jc w:val="center"/>
            </w:pPr>
            <w:r w:rsidRPr="00FC4369">
              <w:t>5295.78</w:t>
            </w:r>
          </w:p>
        </w:tc>
        <w:tc>
          <w:tcPr>
            <w:tcW w:w="2391" w:type="dxa"/>
            <w:vAlign w:val="center"/>
          </w:tcPr>
          <w:p w14:paraId="72606818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77864951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0.2</w:t>
            </w:r>
            <w:r>
              <w:rPr>
                <w:rFonts w:ascii="Calibri" w:hAnsi="Calibri" w:cs="Calibri" w:hint="eastAsia"/>
                <w:color w:val="000000"/>
                <w:szCs w:val="22"/>
              </w:rPr>
              <w:t>3</w:t>
            </w:r>
          </w:p>
        </w:tc>
      </w:tr>
      <w:tr w:rsidR="00AA3F42" w:rsidRPr="00574D9E" w14:paraId="549C4843" w14:textId="77777777" w:rsidTr="00875B8A">
        <w:trPr>
          <w:trHeight w:val="300"/>
          <w:jc w:val="center"/>
        </w:trPr>
        <w:tc>
          <w:tcPr>
            <w:tcW w:w="1031" w:type="dxa"/>
            <w:vMerge/>
            <w:vAlign w:val="center"/>
          </w:tcPr>
          <w:p w14:paraId="1F5496B0" w14:textId="77777777" w:rsidR="00AA3F42" w:rsidRPr="00574D9E" w:rsidRDefault="00AA3F42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0B25B04A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1376" w:type="dxa"/>
          </w:tcPr>
          <w:p w14:paraId="3FE8ABE6" w14:textId="77777777" w:rsidR="00AA3F42" w:rsidRPr="00FC4369" w:rsidRDefault="00AA3F42" w:rsidP="00875B8A">
            <w:pPr>
              <w:jc w:val="center"/>
            </w:pPr>
            <w:r w:rsidRPr="00FC4369">
              <w:t>6195.01</w:t>
            </w:r>
          </w:p>
        </w:tc>
        <w:tc>
          <w:tcPr>
            <w:tcW w:w="2391" w:type="dxa"/>
            <w:vAlign w:val="center"/>
          </w:tcPr>
          <w:p w14:paraId="5C17660D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08B2F637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0.13</w:t>
            </w:r>
          </w:p>
        </w:tc>
      </w:tr>
      <w:tr w:rsidR="00AA3F42" w:rsidRPr="00574D9E" w14:paraId="4BA6CBD8" w14:textId="77777777" w:rsidTr="00875B8A">
        <w:trPr>
          <w:trHeight w:val="306"/>
          <w:jc w:val="center"/>
        </w:trPr>
        <w:tc>
          <w:tcPr>
            <w:tcW w:w="1031" w:type="dxa"/>
            <w:vMerge w:val="restart"/>
            <w:vAlign w:val="center"/>
          </w:tcPr>
          <w:p w14:paraId="0A8D1998" w14:textId="77777777" w:rsidR="00AA3F42" w:rsidRPr="00574D9E" w:rsidRDefault="00AA3F42" w:rsidP="00875B8A">
            <w:pPr>
              <w:rPr>
                <w:sz w:val="24"/>
              </w:rPr>
            </w:pPr>
            <w:r w:rsidRPr="00574D9E">
              <w:t>ASMR</w:t>
            </w:r>
          </w:p>
        </w:tc>
        <w:tc>
          <w:tcPr>
            <w:tcW w:w="864" w:type="dxa"/>
            <w:vAlign w:val="center"/>
          </w:tcPr>
          <w:p w14:paraId="621B9B3B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Both</w:t>
            </w:r>
          </w:p>
        </w:tc>
        <w:tc>
          <w:tcPr>
            <w:tcW w:w="1376" w:type="dxa"/>
          </w:tcPr>
          <w:p w14:paraId="581F1D6B" w14:textId="77777777" w:rsidR="00AA3F42" w:rsidRPr="00FC4369" w:rsidRDefault="00AA3F42" w:rsidP="00875B8A">
            <w:pPr>
              <w:jc w:val="center"/>
            </w:pPr>
            <w:r w:rsidRPr="00FC4369">
              <w:t>5487.47</w:t>
            </w:r>
          </w:p>
        </w:tc>
        <w:tc>
          <w:tcPr>
            <w:tcW w:w="2391" w:type="dxa"/>
            <w:vAlign w:val="center"/>
          </w:tcPr>
          <w:p w14:paraId="3CB87CCB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0C98594E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0.7</w:t>
            </w:r>
            <w:r>
              <w:rPr>
                <w:rFonts w:ascii="Calibri" w:hAnsi="Calibri" w:cs="Calibri" w:hint="eastAsia"/>
                <w:color w:val="000000"/>
                <w:szCs w:val="22"/>
              </w:rPr>
              <w:t>9</w:t>
            </w:r>
          </w:p>
        </w:tc>
      </w:tr>
      <w:tr w:rsidR="00AA3F42" w:rsidRPr="00574D9E" w14:paraId="67EABBCA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58E6F462" w14:textId="77777777" w:rsidR="00AA3F42" w:rsidRPr="00574D9E" w:rsidRDefault="00AA3F42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2F3A486B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Female</w:t>
            </w:r>
          </w:p>
        </w:tc>
        <w:tc>
          <w:tcPr>
            <w:tcW w:w="1376" w:type="dxa"/>
          </w:tcPr>
          <w:p w14:paraId="69F8EB2A" w14:textId="77777777" w:rsidR="00AA3F42" w:rsidRPr="00FC4369" w:rsidRDefault="00AA3F42" w:rsidP="00875B8A">
            <w:pPr>
              <w:jc w:val="center"/>
            </w:pPr>
            <w:r w:rsidRPr="00FC4369">
              <w:t>4487.36</w:t>
            </w:r>
          </w:p>
        </w:tc>
        <w:tc>
          <w:tcPr>
            <w:tcW w:w="2391" w:type="dxa"/>
            <w:vAlign w:val="center"/>
          </w:tcPr>
          <w:p w14:paraId="0D62903D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19442FCE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0.3</w:t>
            </w:r>
            <w:r>
              <w:rPr>
                <w:rFonts w:ascii="Calibri" w:hAnsi="Calibri" w:cs="Calibri" w:hint="eastAsia"/>
                <w:color w:val="000000"/>
                <w:szCs w:val="22"/>
              </w:rPr>
              <w:t>7</w:t>
            </w:r>
          </w:p>
        </w:tc>
      </w:tr>
      <w:tr w:rsidR="00AA3F42" w:rsidRPr="00574D9E" w14:paraId="56EF5B8B" w14:textId="77777777" w:rsidTr="00875B8A">
        <w:trPr>
          <w:trHeight w:val="306"/>
          <w:jc w:val="center"/>
        </w:trPr>
        <w:tc>
          <w:tcPr>
            <w:tcW w:w="1031" w:type="dxa"/>
            <w:vMerge/>
            <w:vAlign w:val="center"/>
          </w:tcPr>
          <w:p w14:paraId="333318F0" w14:textId="77777777" w:rsidR="00AA3F42" w:rsidRPr="00574D9E" w:rsidRDefault="00AA3F42" w:rsidP="00875B8A">
            <w:pPr>
              <w:rPr>
                <w:sz w:val="24"/>
              </w:rPr>
            </w:pPr>
          </w:p>
        </w:tc>
        <w:tc>
          <w:tcPr>
            <w:tcW w:w="864" w:type="dxa"/>
            <w:vAlign w:val="center"/>
          </w:tcPr>
          <w:p w14:paraId="4A507FE3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 w:rsidRPr="00574D9E">
              <w:t>Male</w:t>
            </w:r>
          </w:p>
        </w:tc>
        <w:tc>
          <w:tcPr>
            <w:tcW w:w="1376" w:type="dxa"/>
          </w:tcPr>
          <w:p w14:paraId="0D46F2FF" w14:textId="77777777" w:rsidR="00AA3F42" w:rsidRPr="00FC4369" w:rsidRDefault="00AA3F42" w:rsidP="00875B8A">
            <w:pPr>
              <w:jc w:val="center"/>
            </w:pPr>
            <w:r w:rsidRPr="00FC4369">
              <w:t>5360.62</w:t>
            </w:r>
          </w:p>
        </w:tc>
        <w:tc>
          <w:tcPr>
            <w:tcW w:w="2391" w:type="dxa"/>
            <w:vAlign w:val="center"/>
          </w:tcPr>
          <w:p w14:paraId="75E4D7B5" w14:textId="77777777" w:rsidR="00AA3F42" w:rsidRPr="00574D9E" w:rsidRDefault="00AA3F42" w:rsidP="00875B8A">
            <w:pPr>
              <w:jc w:val="center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389" w:type="dxa"/>
            <w:vAlign w:val="center"/>
          </w:tcPr>
          <w:p w14:paraId="673427FF" w14:textId="77777777" w:rsidR="00AA3F42" w:rsidRPr="00574D9E" w:rsidRDefault="00AA3F42" w:rsidP="00875B8A">
            <w:pPr>
              <w:jc w:val="center"/>
            </w:pPr>
            <w:r>
              <w:rPr>
                <w:rFonts w:ascii="Calibri" w:hAnsi="Calibri" w:cs="Calibri"/>
                <w:color w:val="000000"/>
                <w:szCs w:val="22"/>
              </w:rPr>
              <w:t>0.26</w:t>
            </w:r>
          </w:p>
        </w:tc>
      </w:tr>
    </w:tbl>
    <w:p w14:paraId="468A17E4" w14:textId="3797D1A4" w:rsidR="0067415F" w:rsidRDefault="00AA3F42">
      <w:r>
        <w:rPr>
          <w:rFonts w:ascii="Times New Roman" w:hAnsi="Times New Roman" w:cs="Times New Roman" w:hint="eastAsia"/>
        </w:rPr>
        <w:t>DIC, d</w:t>
      </w:r>
      <w:r w:rsidRPr="00CB6C39">
        <w:rPr>
          <w:rFonts w:ascii="Times New Roman" w:hAnsi="Times New Roman" w:cs="Times New Roman"/>
        </w:rPr>
        <w:t xml:space="preserve">eviance </w:t>
      </w:r>
      <w:r>
        <w:rPr>
          <w:rFonts w:ascii="Times New Roman" w:hAnsi="Times New Roman" w:cs="Times New Roman" w:hint="eastAsia"/>
        </w:rPr>
        <w:t>i</w:t>
      </w:r>
      <w:r w:rsidRPr="00CB6C39">
        <w:rPr>
          <w:rFonts w:ascii="Times New Roman" w:hAnsi="Times New Roman" w:cs="Times New Roman"/>
        </w:rPr>
        <w:t xml:space="preserve">nformation </w:t>
      </w:r>
      <w:r>
        <w:rPr>
          <w:rFonts w:ascii="Times New Roman" w:hAnsi="Times New Roman" w:cs="Times New Roman" w:hint="eastAsia"/>
        </w:rPr>
        <w:t>c</w:t>
      </w:r>
      <w:r w:rsidRPr="00CB6C39">
        <w:rPr>
          <w:rFonts w:ascii="Times New Roman" w:hAnsi="Times New Roman" w:cs="Times New Roman"/>
        </w:rPr>
        <w:t>riterion</w:t>
      </w:r>
      <w:r>
        <w:rPr>
          <w:rFonts w:ascii="Times New Roman" w:hAnsi="Times New Roman" w:cs="Times New Roman" w:hint="eastAsia"/>
        </w:rPr>
        <w:t xml:space="preserve">; </w:t>
      </w:r>
      <w:r w:rsidRPr="002330BE">
        <w:rPr>
          <w:rFonts w:ascii="Times New Roman" w:hAnsi="Times New Roman" w:cs="Times New Roman"/>
        </w:rPr>
        <w:t>ASR, age-standardized rate; MAPE, mean absolute percentage error. The proportion of |Pearson residual| &gt; 3 was used to identify large residuals. ASR MAPE was calculated by comparing observed and BAPC-fitted age-standardized rates during 1990–2023.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E2"/>
    <w:rsid w:val="004244E6"/>
    <w:rsid w:val="0067415F"/>
    <w:rsid w:val="009D6BCE"/>
    <w:rsid w:val="00AA3F42"/>
    <w:rsid w:val="00C2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767B2-A32E-41E2-BA6D-31B2FCFD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4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4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4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4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4E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A3F42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2026-09-18T03:25:00Z</dcterms:created>
  <dcterms:modified xsi:type="dcterms:W3CDTF">2026-09-18T03:25:00Z</dcterms:modified>
</cp:coreProperties>
</file>