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1A24" w14:textId="77777777" w:rsidR="00AC28B6" w:rsidRDefault="00AC28B6" w:rsidP="00AC2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 w:rsidRPr="00CB6C39">
        <w:rPr>
          <w:rFonts w:ascii="Times New Roman" w:hAnsi="Times New Roman" w:cs="Times New Roman" w:hint="eastAsia"/>
          <w:b/>
          <w:bCs/>
        </w:rPr>
        <w:t>6</w:t>
      </w:r>
      <w:r w:rsidRPr="00CB6C39">
        <w:rPr>
          <w:rFonts w:ascii="Times New Roman" w:hAnsi="Times New Roman" w:cs="Times New Roman"/>
          <w:b/>
          <w:bCs/>
        </w:rPr>
        <w:t xml:space="preserve"> </w:t>
      </w:r>
      <w:r w:rsidRPr="00CB6C39">
        <w:rPr>
          <w:rFonts w:ascii="Times New Roman" w:hAnsi="Times New Roman" w:cs="Times New Roman"/>
        </w:rPr>
        <w:t>Di</w:t>
      </w:r>
      <w:r w:rsidRPr="002330BE">
        <w:rPr>
          <w:rFonts w:ascii="Times New Roman" w:hAnsi="Times New Roman" w:cs="Times New Roman"/>
        </w:rPr>
        <w:t>agnostic statistics for the APC models.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1"/>
        <w:gridCol w:w="864"/>
        <w:gridCol w:w="2391"/>
        <w:gridCol w:w="1389"/>
      </w:tblGrid>
      <w:tr w:rsidR="00AC28B6" w:rsidRPr="00FC4369" w14:paraId="6F480ABD" w14:textId="77777777" w:rsidTr="00875B8A">
        <w:trPr>
          <w:trHeight w:val="306"/>
          <w:jc w:val="center"/>
        </w:trPr>
        <w:tc>
          <w:tcPr>
            <w:tcW w:w="1031" w:type="dxa"/>
            <w:vAlign w:val="center"/>
          </w:tcPr>
          <w:p w14:paraId="3C59B4D0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b/>
                <w:bCs/>
              </w:rPr>
              <w:t>Measure</w:t>
            </w:r>
          </w:p>
        </w:tc>
        <w:tc>
          <w:tcPr>
            <w:tcW w:w="864" w:type="dxa"/>
            <w:vAlign w:val="center"/>
          </w:tcPr>
          <w:p w14:paraId="587A7251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b/>
                <w:bCs/>
              </w:rPr>
              <w:t>Sex</w:t>
            </w:r>
          </w:p>
        </w:tc>
        <w:tc>
          <w:tcPr>
            <w:tcW w:w="2391" w:type="dxa"/>
            <w:vAlign w:val="center"/>
          </w:tcPr>
          <w:p w14:paraId="6C8076B3" w14:textId="77777777" w:rsidR="00AC28B6" w:rsidRPr="00FC4369" w:rsidRDefault="00AC28B6" w:rsidP="00875B8A">
            <w:pPr>
              <w:jc w:val="center"/>
            </w:pPr>
            <w:r w:rsidRPr="00FC4369">
              <w:rPr>
                <w:b/>
                <w:bCs/>
              </w:rPr>
              <w:t>Proportion of |Dispersion-adjusted residuals| &gt; 3</w:t>
            </w:r>
          </w:p>
        </w:tc>
        <w:tc>
          <w:tcPr>
            <w:tcW w:w="1389" w:type="dxa"/>
          </w:tcPr>
          <w:p w14:paraId="175692BD" w14:textId="77777777" w:rsidR="00AC28B6" w:rsidRPr="00FC4369" w:rsidRDefault="00AC28B6" w:rsidP="00875B8A">
            <w:pPr>
              <w:jc w:val="center"/>
              <w:rPr>
                <w:b/>
                <w:bCs/>
              </w:rPr>
            </w:pPr>
            <w:r w:rsidRPr="00FC4369">
              <w:rPr>
                <w:b/>
                <w:bCs/>
              </w:rPr>
              <w:t>Observed-versus-fitted rate MAPE</w:t>
            </w:r>
          </w:p>
        </w:tc>
      </w:tr>
      <w:tr w:rsidR="00AC28B6" w:rsidRPr="00FC4369" w14:paraId="538C688C" w14:textId="77777777" w:rsidTr="00875B8A">
        <w:trPr>
          <w:trHeight w:val="306"/>
          <w:jc w:val="center"/>
        </w:trPr>
        <w:tc>
          <w:tcPr>
            <w:tcW w:w="1031" w:type="dxa"/>
            <w:vMerge w:val="restart"/>
            <w:vAlign w:val="center"/>
          </w:tcPr>
          <w:p w14:paraId="39D0E9B3" w14:textId="77777777" w:rsidR="00AC28B6" w:rsidRPr="00FC4369" w:rsidRDefault="00AC28B6" w:rsidP="00875B8A">
            <w:pPr>
              <w:rPr>
                <w:sz w:val="24"/>
              </w:rPr>
            </w:pPr>
            <w:r w:rsidRPr="00FC4369">
              <w:t>ASIR</w:t>
            </w:r>
          </w:p>
        </w:tc>
        <w:tc>
          <w:tcPr>
            <w:tcW w:w="864" w:type="dxa"/>
            <w:vAlign w:val="center"/>
          </w:tcPr>
          <w:p w14:paraId="1EA24761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t>Both</w:t>
            </w:r>
          </w:p>
        </w:tc>
        <w:tc>
          <w:tcPr>
            <w:tcW w:w="2391" w:type="dxa"/>
            <w:vAlign w:val="center"/>
          </w:tcPr>
          <w:p w14:paraId="5299156D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55D7D17C" w14:textId="77777777" w:rsidR="00AC28B6" w:rsidRPr="00FC4369" w:rsidRDefault="00AC28B6" w:rsidP="00875B8A">
            <w:pPr>
              <w:jc w:val="center"/>
            </w:pPr>
            <w:r w:rsidRPr="00FC4369">
              <w:rPr>
                <w:color w:val="000000"/>
                <w:szCs w:val="22"/>
              </w:rPr>
              <w:t>3.01</w:t>
            </w:r>
          </w:p>
        </w:tc>
      </w:tr>
      <w:tr w:rsidR="00AC28B6" w:rsidRPr="00FC4369" w14:paraId="2C93E559" w14:textId="77777777" w:rsidTr="00875B8A">
        <w:trPr>
          <w:trHeight w:val="306"/>
          <w:jc w:val="center"/>
        </w:trPr>
        <w:tc>
          <w:tcPr>
            <w:tcW w:w="1031" w:type="dxa"/>
            <w:vMerge/>
            <w:vAlign w:val="center"/>
          </w:tcPr>
          <w:p w14:paraId="4C93AF48" w14:textId="77777777" w:rsidR="00AC28B6" w:rsidRPr="00FC4369" w:rsidRDefault="00AC28B6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58B830A0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t>Female</w:t>
            </w:r>
          </w:p>
        </w:tc>
        <w:tc>
          <w:tcPr>
            <w:tcW w:w="2391" w:type="dxa"/>
            <w:vAlign w:val="center"/>
          </w:tcPr>
          <w:p w14:paraId="2D2E514D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64F1D561" w14:textId="77777777" w:rsidR="00AC28B6" w:rsidRPr="00FC4369" w:rsidRDefault="00AC28B6" w:rsidP="00875B8A">
            <w:pPr>
              <w:jc w:val="center"/>
            </w:pPr>
            <w:r w:rsidRPr="00FC4369">
              <w:rPr>
                <w:color w:val="000000"/>
                <w:szCs w:val="22"/>
              </w:rPr>
              <w:t>3.29</w:t>
            </w:r>
          </w:p>
        </w:tc>
      </w:tr>
      <w:tr w:rsidR="00AC28B6" w:rsidRPr="00FC4369" w14:paraId="111B360F" w14:textId="77777777" w:rsidTr="00875B8A">
        <w:trPr>
          <w:trHeight w:val="300"/>
          <w:jc w:val="center"/>
        </w:trPr>
        <w:tc>
          <w:tcPr>
            <w:tcW w:w="1031" w:type="dxa"/>
            <w:vMerge/>
            <w:vAlign w:val="center"/>
          </w:tcPr>
          <w:p w14:paraId="40D24B84" w14:textId="77777777" w:rsidR="00AC28B6" w:rsidRPr="00FC4369" w:rsidRDefault="00AC28B6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5EA7EC08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t>Male</w:t>
            </w:r>
          </w:p>
        </w:tc>
        <w:tc>
          <w:tcPr>
            <w:tcW w:w="2391" w:type="dxa"/>
            <w:vAlign w:val="center"/>
          </w:tcPr>
          <w:p w14:paraId="6B16CA04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6450F6DC" w14:textId="77777777" w:rsidR="00AC28B6" w:rsidRPr="00FC4369" w:rsidRDefault="00AC28B6" w:rsidP="00875B8A">
            <w:pPr>
              <w:jc w:val="center"/>
            </w:pPr>
            <w:r w:rsidRPr="00FC4369">
              <w:rPr>
                <w:color w:val="000000"/>
                <w:szCs w:val="22"/>
              </w:rPr>
              <w:t>2.97</w:t>
            </w:r>
          </w:p>
        </w:tc>
      </w:tr>
      <w:tr w:rsidR="00AC28B6" w:rsidRPr="00FC4369" w14:paraId="65B254BF" w14:textId="77777777" w:rsidTr="00875B8A">
        <w:trPr>
          <w:trHeight w:val="306"/>
          <w:jc w:val="center"/>
        </w:trPr>
        <w:tc>
          <w:tcPr>
            <w:tcW w:w="1031" w:type="dxa"/>
            <w:vMerge w:val="restart"/>
            <w:vAlign w:val="center"/>
          </w:tcPr>
          <w:p w14:paraId="5BF592A6" w14:textId="77777777" w:rsidR="00AC28B6" w:rsidRPr="00FC4369" w:rsidRDefault="00AC28B6" w:rsidP="00875B8A">
            <w:pPr>
              <w:rPr>
                <w:sz w:val="24"/>
              </w:rPr>
            </w:pPr>
            <w:r w:rsidRPr="00FC4369">
              <w:t>ASMR</w:t>
            </w:r>
          </w:p>
        </w:tc>
        <w:tc>
          <w:tcPr>
            <w:tcW w:w="864" w:type="dxa"/>
            <w:vAlign w:val="center"/>
          </w:tcPr>
          <w:p w14:paraId="7707C2CB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t>Both</w:t>
            </w:r>
          </w:p>
        </w:tc>
        <w:tc>
          <w:tcPr>
            <w:tcW w:w="2391" w:type="dxa"/>
            <w:vAlign w:val="center"/>
          </w:tcPr>
          <w:p w14:paraId="7FC8D370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56646CE4" w14:textId="77777777" w:rsidR="00AC28B6" w:rsidRPr="00FC4369" w:rsidRDefault="00AC28B6" w:rsidP="00875B8A">
            <w:pPr>
              <w:jc w:val="center"/>
            </w:pPr>
            <w:r w:rsidRPr="00FC4369">
              <w:rPr>
                <w:color w:val="000000"/>
                <w:szCs w:val="22"/>
              </w:rPr>
              <w:t>3.12</w:t>
            </w:r>
          </w:p>
        </w:tc>
      </w:tr>
      <w:tr w:rsidR="00AC28B6" w:rsidRPr="00FC4369" w14:paraId="1527723E" w14:textId="77777777" w:rsidTr="00875B8A">
        <w:trPr>
          <w:trHeight w:val="306"/>
          <w:jc w:val="center"/>
        </w:trPr>
        <w:tc>
          <w:tcPr>
            <w:tcW w:w="1031" w:type="dxa"/>
            <w:vMerge/>
            <w:vAlign w:val="center"/>
          </w:tcPr>
          <w:p w14:paraId="056A0F23" w14:textId="77777777" w:rsidR="00AC28B6" w:rsidRPr="00FC4369" w:rsidRDefault="00AC28B6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50D36CD5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t>Female</w:t>
            </w:r>
          </w:p>
        </w:tc>
        <w:tc>
          <w:tcPr>
            <w:tcW w:w="2391" w:type="dxa"/>
            <w:vAlign w:val="center"/>
          </w:tcPr>
          <w:p w14:paraId="5A030D48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42215E32" w14:textId="77777777" w:rsidR="00AC28B6" w:rsidRPr="00FC4369" w:rsidRDefault="00AC28B6" w:rsidP="00875B8A">
            <w:pPr>
              <w:jc w:val="center"/>
            </w:pPr>
            <w:r w:rsidRPr="00FC4369">
              <w:rPr>
                <w:color w:val="000000"/>
                <w:szCs w:val="22"/>
              </w:rPr>
              <w:t>3.47</w:t>
            </w:r>
          </w:p>
        </w:tc>
      </w:tr>
      <w:tr w:rsidR="00AC28B6" w:rsidRPr="00FC4369" w14:paraId="726B5B28" w14:textId="77777777" w:rsidTr="00875B8A">
        <w:trPr>
          <w:trHeight w:val="306"/>
          <w:jc w:val="center"/>
        </w:trPr>
        <w:tc>
          <w:tcPr>
            <w:tcW w:w="1031" w:type="dxa"/>
            <w:vMerge/>
            <w:vAlign w:val="center"/>
          </w:tcPr>
          <w:p w14:paraId="25567257" w14:textId="77777777" w:rsidR="00AC28B6" w:rsidRPr="00FC4369" w:rsidRDefault="00AC28B6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006D47D4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t>Male</w:t>
            </w:r>
          </w:p>
        </w:tc>
        <w:tc>
          <w:tcPr>
            <w:tcW w:w="2391" w:type="dxa"/>
            <w:vAlign w:val="center"/>
          </w:tcPr>
          <w:p w14:paraId="7B6949C8" w14:textId="77777777" w:rsidR="00AC28B6" w:rsidRPr="00FC4369" w:rsidRDefault="00AC28B6" w:rsidP="00875B8A">
            <w:pPr>
              <w:jc w:val="center"/>
              <w:rPr>
                <w:sz w:val="24"/>
              </w:rPr>
            </w:pPr>
            <w:r w:rsidRPr="00FC4369">
              <w:rPr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11407F96" w14:textId="77777777" w:rsidR="00AC28B6" w:rsidRPr="00FC4369" w:rsidRDefault="00AC28B6" w:rsidP="00875B8A">
            <w:pPr>
              <w:jc w:val="center"/>
            </w:pPr>
            <w:r w:rsidRPr="00FC4369">
              <w:rPr>
                <w:color w:val="000000"/>
                <w:szCs w:val="22"/>
              </w:rPr>
              <w:t>3.03</w:t>
            </w:r>
          </w:p>
        </w:tc>
      </w:tr>
    </w:tbl>
    <w:p w14:paraId="1B94FA2E" w14:textId="77777777" w:rsidR="00AC28B6" w:rsidRDefault="00AC28B6" w:rsidP="00AC28B6">
      <w:pPr>
        <w:rPr>
          <w:rFonts w:ascii="Times New Roman" w:hAnsi="Times New Roman" w:cs="Times New Roman"/>
        </w:rPr>
      </w:pPr>
      <w:r w:rsidRPr="002330BE">
        <w:rPr>
          <w:rFonts w:ascii="Times New Roman" w:hAnsi="Times New Roman" w:cs="Times New Roman"/>
        </w:rPr>
        <w:t xml:space="preserve">ASR, age-standardized rate; MAPE, mean absolute percentage error. </w:t>
      </w:r>
      <w:r w:rsidRPr="00A71DF2">
        <w:rPr>
          <w:rFonts w:ascii="Times New Roman" w:hAnsi="Times New Roman" w:cs="Times New Roman"/>
        </w:rPr>
        <w:t>Dispersion-adjusted APC residuals were calculated by dividing the internal APC residuals by the square root of the estimated dispersion parameter</w:t>
      </w:r>
      <w:r>
        <w:rPr>
          <w:rFonts w:ascii="Times New Roman" w:hAnsi="Times New Roman" w:cs="Times New Roman" w:hint="eastAsia"/>
        </w:rPr>
        <w:t>, and</w:t>
      </w:r>
      <w:r w:rsidRPr="00A71D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</w:t>
      </w:r>
      <w:r w:rsidRPr="00A71DF2">
        <w:rPr>
          <w:rFonts w:ascii="Times New Roman" w:hAnsi="Times New Roman" w:cs="Times New Roman"/>
        </w:rPr>
        <w:t>he estimated extra-Poisson dispersion parameter was calculated as the weighted residual sum of squares divided by the residual degrees of freedom. Observed-versus-fitted rate MAPE was calculated by comparing observed rates with APC-fitted rates across age-period cells.</w:t>
      </w:r>
    </w:p>
    <w:p w14:paraId="711A9B9F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32"/>
    <w:rsid w:val="004244E6"/>
    <w:rsid w:val="0067415F"/>
    <w:rsid w:val="009D6BCE"/>
    <w:rsid w:val="00AC28B6"/>
    <w:rsid w:val="00D0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A84EE0-8981-4E7D-8CE2-D8C08217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2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2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2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2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23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C28B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2026-09-18T03:25:00Z</dcterms:created>
  <dcterms:modified xsi:type="dcterms:W3CDTF">2026-09-18T03:25:00Z</dcterms:modified>
</cp:coreProperties>
</file>