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B93F6" w14:textId="77777777" w:rsidR="00A30571" w:rsidRDefault="00A30571" w:rsidP="00A30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 w:rsidRPr="000D67DF">
        <w:rPr>
          <w:rFonts w:ascii="Times New Roman" w:hAnsi="Times New Roman" w:cs="Times New Roman"/>
          <w:b/>
          <w:bCs/>
        </w:rPr>
        <w:t xml:space="preserve">1 </w:t>
      </w:r>
      <w:r w:rsidRPr="00BC169D">
        <w:rPr>
          <w:rFonts w:ascii="Times New Roman" w:hAnsi="Times New Roman" w:cs="Times New Roman" w:hint="eastAsia"/>
        </w:rPr>
        <w:t>Average annual percentage changes in incidence, mortality, and risk-attributable burden of bladder cancer in China, 1990</w:t>
      </w:r>
      <w:r w:rsidRPr="00BC169D">
        <w:rPr>
          <w:rFonts w:ascii="Times New Roman" w:hAnsi="Times New Roman" w:cs="Times New Roman" w:hint="eastAsia"/>
        </w:rPr>
        <w:t>–</w:t>
      </w:r>
      <w:r w:rsidRPr="00BC169D">
        <w:rPr>
          <w:rFonts w:ascii="Times New Roman" w:hAnsi="Times New Roman" w:cs="Times New Roman" w:hint="eastAsia"/>
        </w:rPr>
        <w:t>2023, by sex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34"/>
        <w:gridCol w:w="1080"/>
        <w:gridCol w:w="2268"/>
        <w:gridCol w:w="1559"/>
      </w:tblGrid>
      <w:tr w:rsidR="00A30571" w:rsidRPr="00574D9E" w14:paraId="248179E3" w14:textId="77777777" w:rsidTr="00875B8A">
        <w:trPr>
          <w:trHeight w:val="306"/>
          <w:jc w:val="center"/>
        </w:trPr>
        <w:tc>
          <w:tcPr>
            <w:tcW w:w="2034" w:type="dxa"/>
            <w:vAlign w:val="center"/>
          </w:tcPr>
          <w:p w14:paraId="16283F68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rPr>
                <w:b/>
                <w:bCs/>
              </w:rPr>
              <w:t>Measure</w:t>
            </w:r>
          </w:p>
        </w:tc>
        <w:tc>
          <w:tcPr>
            <w:tcW w:w="1080" w:type="dxa"/>
            <w:vAlign w:val="center"/>
          </w:tcPr>
          <w:p w14:paraId="211526B7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rPr>
                <w:b/>
                <w:bCs/>
              </w:rPr>
              <w:t>Sex</w:t>
            </w:r>
          </w:p>
        </w:tc>
        <w:tc>
          <w:tcPr>
            <w:tcW w:w="2268" w:type="dxa"/>
            <w:vAlign w:val="center"/>
          </w:tcPr>
          <w:p w14:paraId="437AFB38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rPr>
                <w:b/>
                <w:bCs/>
              </w:rPr>
              <w:t>AAPC, % (95% CI)</w:t>
            </w:r>
          </w:p>
        </w:tc>
        <w:tc>
          <w:tcPr>
            <w:tcW w:w="1559" w:type="dxa"/>
            <w:vAlign w:val="center"/>
          </w:tcPr>
          <w:p w14:paraId="60046AC9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rPr>
                <w:b/>
                <w:bCs/>
              </w:rPr>
              <w:t>P value</w:t>
            </w:r>
          </w:p>
        </w:tc>
      </w:tr>
      <w:tr w:rsidR="00A30571" w:rsidRPr="00574D9E" w14:paraId="6FCDBCC3" w14:textId="77777777" w:rsidTr="00875B8A">
        <w:trPr>
          <w:trHeight w:val="306"/>
          <w:jc w:val="center"/>
        </w:trPr>
        <w:tc>
          <w:tcPr>
            <w:tcW w:w="2034" w:type="dxa"/>
            <w:vMerge w:val="restart"/>
            <w:vAlign w:val="center"/>
          </w:tcPr>
          <w:p w14:paraId="162DBD47" w14:textId="77777777" w:rsidR="00A30571" w:rsidRPr="00574D9E" w:rsidRDefault="00A30571" w:rsidP="00875B8A">
            <w:pPr>
              <w:rPr>
                <w:sz w:val="24"/>
              </w:rPr>
            </w:pPr>
            <w:r w:rsidRPr="00574D9E">
              <w:t>Crude incidence rate</w:t>
            </w:r>
          </w:p>
        </w:tc>
        <w:tc>
          <w:tcPr>
            <w:tcW w:w="1080" w:type="dxa"/>
            <w:vAlign w:val="center"/>
          </w:tcPr>
          <w:p w14:paraId="73C30F07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Both</w:t>
            </w:r>
          </w:p>
        </w:tc>
        <w:tc>
          <w:tcPr>
            <w:tcW w:w="2268" w:type="dxa"/>
            <w:vAlign w:val="center"/>
          </w:tcPr>
          <w:p w14:paraId="1D246F43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2.18 (2.05 to 2.32)</w:t>
            </w:r>
          </w:p>
        </w:tc>
        <w:tc>
          <w:tcPr>
            <w:tcW w:w="1559" w:type="dxa"/>
            <w:vAlign w:val="center"/>
          </w:tcPr>
          <w:p w14:paraId="19CD3096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74C30E58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42CF6F9D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AF9ADBB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Female</w:t>
            </w:r>
          </w:p>
        </w:tc>
        <w:tc>
          <w:tcPr>
            <w:tcW w:w="2268" w:type="dxa"/>
            <w:vAlign w:val="center"/>
          </w:tcPr>
          <w:p w14:paraId="478AB4A7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0.86 (0.77 to 0.95)</w:t>
            </w:r>
          </w:p>
        </w:tc>
        <w:tc>
          <w:tcPr>
            <w:tcW w:w="1559" w:type="dxa"/>
            <w:vAlign w:val="center"/>
          </w:tcPr>
          <w:p w14:paraId="2F413CB7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718DE2D7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7A0A4C50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81E8D20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Male</w:t>
            </w:r>
          </w:p>
        </w:tc>
        <w:tc>
          <w:tcPr>
            <w:tcW w:w="2268" w:type="dxa"/>
            <w:vAlign w:val="center"/>
          </w:tcPr>
          <w:p w14:paraId="4718EC67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2.30 (2.13 to 2.47)</w:t>
            </w:r>
          </w:p>
        </w:tc>
        <w:tc>
          <w:tcPr>
            <w:tcW w:w="1559" w:type="dxa"/>
            <w:vAlign w:val="center"/>
          </w:tcPr>
          <w:p w14:paraId="2231F4ED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1C2C4444" w14:textId="77777777" w:rsidTr="00875B8A">
        <w:trPr>
          <w:trHeight w:val="306"/>
          <w:jc w:val="center"/>
        </w:trPr>
        <w:tc>
          <w:tcPr>
            <w:tcW w:w="2034" w:type="dxa"/>
            <w:vMerge w:val="restart"/>
            <w:vAlign w:val="center"/>
          </w:tcPr>
          <w:p w14:paraId="6B443B87" w14:textId="77777777" w:rsidR="00A30571" w:rsidRPr="00574D9E" w:rsidRDefault="00A30571" w:rsidP="00875B8A">
            <w:pPr>
              <w:rPr>
                <w:sz w:val="24"/>
              </w:rPr>
            </w:pPr>
            <w:r w:rsidRPr="00574D9E">
              <w:t>Crude mortality rate</w:t>
            </w:r>
          </w:p>
        </w:tc>
        <w:tc>
          <w:tcPr>
            <w:tcW w:w="1080" w:type="dxa"/>
            <w:vAlign w:val="center"/>
          </w:tcPr>
          <w:p w14:paraId="33AC99C3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Both</w:t>
            </w:r>
          </w:p>
        </w:tc>
        <w:tc>
          <w:tcPr>
            <w:tcW w:w="2268" w:type="dxa"/>
            <w:vAlign w:val="center"/>
          </w:tcPr>
          <w:p w14:paraId="7F93A115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1.52 (1.39 to 1.70)</w:t>
            </w:r>
          </w:p>
        </w:tc>
        <w:tc>
          <w:tcPr>
            <w:tcW w:w="1559" w:type="dxa"/>
            <w:vAlign w:val="center"/>
          </w:tcPr>
          <w:p w14:paraId="5D979B43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5A34B542" w14:textId="77777777" w:rsidTr="00875B8A">
        <w:trPr>
          <w:trHeight w:val="300"/>
          <w:jc w:val="center"/>
        </w:trPr>
        <w:tc>
          <w:tcPr>
            <w:tcW w:w="2034" w:type="dxa"/>
            <w:vMerge/>
            <w:vAlign w:val="center"/>
          </w:tcPr>
          <w:p w14:paraId="69439FE5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25A010F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Female</w:t>
            </w:r>
          </w:p>
        </w:tc>
        <w:tc>
          <w:tcPr>
            <w:tcW w:w="2268" w:type="dxa"/>
            <w:vAlign w:val="center"/>
          </w:tcPr>
          <w:p w14:paraId="31E799BB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0.50 (0.41 to 0.59)</w:t>
            </w:r>
          </w:p>
        </w:tc>
        <w:tc>
          <w:tcPr>
            <w:tcW w:w="1559" w:type="dxa"/>
            <w:vAlign w:val="center"/>
          </w:tcPr>
          <w:p w14:paraId="1D016963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0E64381C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331A8AF5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C5194A6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Male</w:t>
            </w:r>
          </w:p>
        </w:tc>
        <w:tc>
          <w:tcPr>
            <w:tcW w:w="2268" w:type="dxa"/>
            <w:vAlign w:val="center"/>
          </w:tcPr>
          <w:p w14:paraId="00C06E43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1.76 (1.58 to 1.93)</w:t>
            </w:r>
          </w:p>
        </w:tc>
        <w:tc>
          <w:tcPr>
            <w:tcW w:w="1559" w:type="dxa"/>
            <w:vAlign w:val="center"/>
          </w:tcPr>
          <w:p w14:paraId="7152BE87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2A8F23F0" w14:textId="77777777" w:rsidTr="00875B8A">
        <w:trPr>
          <w:trHeight w:val="306"/>
          <w:jc w:val="center"/>
        </w:trPr>
        <w:tc>
          <w:tcPr>
            <w:tcW w:w="2034" w:type="dxa"/>
            <w:vMerge w:val="restart"/>
            <w:vAlign w:val="center"/>
          </w:tcPr>
          <w:p w14:paraId="35C93AF3" w14:textId="77777777" w:rsidR="00A30571" w:rsidRPr="00574D9E" w:rsidRDefault="00A30571" w:rsidP="00875B8A">
            <w:pPr>
              <w:rPr>
                <w:sz w:val="24"/>
              </w:rPr>
            </w:pPr>
            <w:r w:rsidRPr="00574D9E">
              <w:t>Crude DALY rate</w:t>
            </w:r>
          </w:p>
        </w:tc>
        <w:tc>
          <w:tcPr>
            <w:tcW w:w="1080" w:type="dxa"/>
            <w:vAlign w:val="center"/>
          </w:tcPr>
          <w:p w14:paraId="03E75FA3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Both</w:t>
            </w:r>
          </w:p>
        </w:tc>
        <w:tc>
          <w:tcPr>
            <w:tcW w:w="2268" w:type="dxa"/>
            <w:vAlign w:val="center"/>
          </w:tcPr>
          <w:p w14:paraId="5E4C9E25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0.79 (0.67 to 0.96)</w:t>
            </w:r>
          </w:p>
        </w:tc>
        <w:tc>
          <w:tcPr>
            <w:tcW w:w="1559" w:type="dxa"/>
            <w:vAlign w:val="center"/>
          </w:tcPr>
          <w:p w14:paraId="3C5BD88B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3BB53D9E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5062870D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EE3E7E5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Female</w:t>
            </w:r>
          </w:p>
        </w:tc>
        <w:tc>
          <w:tcPr>
            <w:tcW w:w="2268" w:type="dxa"/>
            <w:vAlign w:val="center"/>
          </w:tcPr>
          <w:p w14:paraId="384424CB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-0.35 (-0.43 to -0.27)</w:t>
            </w:r>
          </w:p>
        </w:tc>
        <w:tc>
          <w:tcPr>
            <w:tcW w:w="1559" w:type="dxa"/>
            <w:vAlign w:val="center"/>
          </w:tcPr>
          <w:p w14:paraId="2944491A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096285EB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3309A1B4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38D3EED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Male</w:t>
            </w:r>
          </w:p>
        </w:tc>
        <w:tc>
          <w:tcPr>
            <w:tcW w:w="2268" w:type="dxa"/>
            <w:vAlign w:val="center"/>
          </w:tcPr>
          <w:p w14:paraId="2CB3B6FB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1.19 (1.02 to 1.41)</w:t>
            </w:r>
          </w:p>
        </w:tc>
        <w:tc>
          <w:tcPr>
            <w:tcW w:w="1559" w:type="dxa"/>
            <w:vAlign w:val="center"/>
          </w:tcPr>
          <w:p w14:paraId="057F8D75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035165FA" w14:textId="77777777" w:rsidTr="00875B8A">
        <w:trPr>
          <w:trHeight w:val="306"/>
          <w:jc w:val="center"/>
        </w:trPr>
        <w:tc>
          <w:tcPr>
            <w:tcW w:w="2034" w:type="dxa"/>
            <w:vMerge w:val="restart"/>
            <w:vAlign w:val="center"/>
          </w:tcPr>
          <w:p w14:paraId="23B835A1" w14:textId="77777777" w:rsidR="00A30571" w:rsidRPr="00574D9E" w:rsidRDefault="00A30571" w:rsidP="00875B8A">
            <w:pPr>
              <w:rPr>
                <w:sz w:val="24"/>
              </w:rPr>
            </w:pPr>
            <w:r w:rsidRPr="00574D9E">
              <w:t>ASDR</w:t>
            </w:r>
          </w:p>
        </w:tc>
        <w:tc>
          <w:tcPr>
            <w:tcW w:w="1080" w:type="dxa"/>
            <w:vAlign w:val="center"/>
          </w:tcPr>
          <w:p w14:paraId="6CEE303C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Both</w:t>
            </w:r>
          </w:p>
        </w:tc>
        <w:tc>
          <w:tcPr>
            <w:tcW w:w="2268" w:type="dxa"/>
            <w:vAlign w:val="center"/>
          </w:tcPr>
          <w:p w14:paraId="08BD6A55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-1.62 (-1.76 to -1.45)</w:t>
            </w:r>
          </w:p>
        </w:tc>
        <w:tc>
          <w:tcPr>
            <w:tcW w:w="1559" w:type="dxa"/>
            <w:vAlign w:val="center"/>
          </w:tcPr>
          <w:p w14:paraId="65A4EE28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5D0C56A8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64C1DB72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C0C8406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Female</w:t>
            </w:r>
          </w:p>
        </w:tc>
        <w:tc>
          <w:tcPr>
            <w:tcW w:w="2268" w:type="dxa"/>
            <w:vAlign w:val="center"/>
          </w:tcPr>
          <w:p w14:paraId="0731C255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-2.72 (-2.80 to -2.64)</w:t>
            </w:r>
          </w:p>
        </w:tc>
        <w:tc>
          <w:tcPr>
            <w:tcW w:w="1559" w:type="dxa"/>
            <w:vAlign w:val="center"/>
          </w:tcPr>
          <w:p w14:paraId="1AF8FCF0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0DEFE150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3D655235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30F99A9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Male</w:t>
            </w:r>
          </w:p>
        </w:tc>
        <w:tc>
          <w:tcPr>
            <w:tcW w:w="2268" w:type="dxa"/>
            <w:vAlign w:val="center"/>
          </w:tcPr>
          <w:p w14:paraId="3886E381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-1.31 (-1.48 to -1.10)</w:t>
            </w:r>
          </w:p>
        </w:tc>
        <w:tc>
          <w:tcPr>
            <w:tcW w:w="1559" w:type="dxa"/>
            <w:vAlign w:val="center"/>
          </w:tcPr>
          <w:p w14:paraId="29D29020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77334A57" w14:textId="77777777" w:rsidTr="00875B8A">
        <w:trPr>
          <w:trHeight w:val="306"/>
          <w:jc w:val="center"/>
        </w:trPr>
        <w:tc>
          <w:tcPr>
            <w:tcW w:w="2034" w:type="dxa"/>
            <w:vMerge w:val="restart"/>
            <w:vAlign w:val="center"/>
          </w:tcPr>
          <w:p w14:paraId="46A36AB1" w14:textId="77777777" w:rsidR="00A30571" w:rsidRPr="00574D9E" w:rsidRDefault="00A30571" w:rsidP="00875B8A">
            <w:pPr>
              <w:rPr>
                <w:sz w:val="24"/>
              </w:rPr>
            </w:pPr>
            <w:r w:rsidRPr="00574D9E">
              <w:t>ASIR</w:t>
            </w:r>
          </w:p>
        </w:tc>
        <w:tc>
          <w:tcPr>
            <w:tcW w:w="1080" w:type="dxa"/>
            <w:vAlign w:val="center"/>
          </w:tcPr>
          <w:p w14:paraId="0640DDB9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Both</w:t>
            </w:r>
          </w:p>
        </w:tc>
        <w:tc>
          <w:tcPr>
            <w:tcW w:w="2268" w:type="dxa"/>
            <w:vAlign w:val="center"/>
          </w:tcPr>
          <w:p w14:paraId="0186B862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-0.32 (-0.44 to -0.18)</w:t>
            </w:r>
          </w:p>
        </w:tc>
        <w:tc>
          <w:tcPr>
            <w:tcW w:w="1559" w:type="dxa"/>
            <w:vAlign w:val="center"/>
          </w:tcPr>
          <w:p w14:paraId="285C4798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0.0004</w:t>
            </w:r>
          </w:p>
        </w:tc>
      </w:tr>
      <w:tr w:rsidR="00A30571" w:rsidRPr="00574D9E" w14:paraId="33DF720D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05B7D2D3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81F9109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Female</w:t>
            </w:r>
          </w:p>
        </w:tc>
        <w:tc>
          <w:tcPr>
            <w:tcW w:w="2268" w:type="dxa"/>
            <w:vAlign w:val="center"/>
          </w:tcPr>
          <w:p w14:paraId="6E0C02CC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-1.56 (-1.65 to -1.47)</w:t>
            </w:r>
          </w:p>
        </w:tc>
        <w:tc>
          <w:tcPr>
            <w:tcW w:w="1559" w:type="dxa"/>
            <w:vAlign w:val="center"/>
          </w:tcPr>
          <w:p w14:paraId="5DD4481D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14FBB651" w14:textId="77777777" w:rsidTr="00875B8A">
        <w:trPr>
          <w:trHeight w:val="300"/>
          <w:jc w:val="center"/>
        </w:trPr>
        <w:tc>
          <w:tcPr>
            <w:tcW w:w="2034" w:type="dxa"/>
            <w:vMerge/>
            <w:vAlign w:val="center"/>
          </w:tcPr>
          <w:p w14:paraId="1E273DAF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27617B2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Male</w:t>
            </w:r>
          </w:p>
        </w:tc>
        <w:tc>
          <w:tcPr>
            <w:tcW w:w="2268" w:type="dxa"/>
            <w:vAlign w:val="center"/>
          </w:tcPr>
          <w:p w14:paraId="6777FF8C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-0.32 (-0.49 to -0.14)</w:t>
            </w:r>
          </w:p>
        </w:tc>
        <w:tc>
          <w:tcPr>
            <w:tcW w:w="1559" w:type="dxa"/>
            <w:vAlign w:val="center"/>
          </w:tcPr>
          <w:p w14:paraId="01938FAE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0.0008</w:t>
            </w:r>
          </w:p>
        </w:tc>
      </w:tr>
      <w:tr w:rsidR="00A30571" w:rsidRPr="00574D9E" w14:paraId="0CADE137" w14:textId="77777777" w:rsidTr="00875B8A">
        <w:trPr>
          <w:trHeight w:val="306"/>
          <w:jc w:val="center"/>
        </w:trPr>
        <w:tc>
          <w:tcPr>
            <w:tcW w:w="2034" w:type="dxa"/>
            <w:vMerge w:val="restart"/>
            <w:vAlign w:val="center"/>
          </w:tcPr>
          <w:p w14:paraId="178E0C6F" w14:textId="77777777" w:rsidR="00A30571" w:rsidRPr="00574D9E" w:rsidRDefault="00A30571" w:rsidP="00875B8A">
            <w:pPr>
              <w:rPr>
                <w:sz w:val="24"/>
              </w:rPr>
            </w:pPr>
            <w:r w:rsidRPr="00574D9E">
              <w:t>ASMR</w:t>
            </w:r>
          </w:p>
        </w:tc>
        <w:tc>
          <w:tcPr>
            <w:tcW w:w="1080" w:type="dxa"/>
            <w:vAlign w:val="center"/>
          </w:tcPr>
          <w:p w14:paraId="3F7FB67C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Both</w:t>
            </w:r>
          </w:p>
        </w:tc>
        <w:tc>
          <w:tcPr>
            <w:tcW w:w="2268" w:type="dxa"/>
            <w:vAlign w:val="center"/>
          </w:tcPr>
          <w:p w14:paraId="21887F10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-1.31 (-1.44 to -1.15)</w:t>
            </w:r>
          </w:p>
        </w:tc>
        <w:tc>
          <w:tcPr>
            <w:tcW w:w="1559" w:type="dxa"/>
            <w:vAlign w:val="center"/>
          </w:tcPr>
          <w:p w14:paraId="0C7F5A0A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6EDC08DD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05A5BB93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219998B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Female</w:t>
            </w:r>
          </w:p>
        </w:tc>
        <w:tc>
          <w:tcPr>
            <w:tcW w:w="2268" w:type="dxa"/>
            <w:vAlign w:val="center"/>
          </w:tcPr>
          <w:p w14:paraId="6B244A9A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-2.31 (-2.40 to -2.22)</w:t>
            </w:r>
          </w:p>
        </w:tc>
        <w:tc>
          <w:tcPr>
            <w:tcW w:w="1559" w:type="dxa"/>
            <w:vAlign w:val="center"/>
          </w:tcPr>
          <w:p w14:paraId="6A4EDF5E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05A0A651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0A4CFFD3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6FEE6BE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Male</w:t>
            </w:r>
          </w:p>
        </w:tc>
        <w:tc>
          <w:tcPr>
            <w:tcW w:w="2268" w:type="dxa"/>
            <w:vAlign w:val="center"/>
          </w:tcPr>
          <w:p w14:paraId="3BE6DD7E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-1.09 (-1.28 to -0.86)</w:t>
            </w:r>
          </w:p>
        </w:tc>
        <w:tc>
          <w:tcPr>
            <w:tcW w:w="1559" w:type="dxa"/>
            <w:vAlign w:val="center"/>
          </w:tcPr>
          <w:p w14:paraId="22CBF5C7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019040C8" w14:textId="77777777" w:rsidTr="00875B8A">
        <w:trPr>
          <w:trHeight w:val="613"/>
          <w:jc w:val="center"/>
        </w:trPr>
        <w:tc>
          <w:tcPr>
            <w:tcW w:w="2034" w:type="dxa"/>
            <w:vMerge w:val="restart"/>
            <w:vAlign w:val="center"/>
          </w:tcPr>
          <w:p w14:paraId="7F192ECA" w14:textId="77777777" w:rsidR="00A30571" w:rsidRPr="00574D9E" w:rsidRDefault="00A30571" w:rsidP="00875B8A">
            <w:pPr>
              <w:rPr>
                <w:sz w:val="24"/>
              </w:rPr>
            </w:pPr>
            <w:r w:rsidRPr="00574D9E">
              <w:t>ASMR attributable to tobacco</w:t>
            </w:r>
          </w:p>
        </w:tc>
        <w:tc>
          <w:tcPr>
            <w:tcW w:w="1080" w:type="dxa"/>
            <w:vAlign w:val="center"/>
          </w:tcPr>
          <w:p w14:paraId="0424F286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Both</w:t>
            </w:r>
          </w:p>
        </w:tc>
        <w:tc>
          <w:tcPr>
            <w:tcW w:w="2268" w:type="dxa"/>
            <w:vAlign w:val="center"/>
          </w:tcPr>
          <w:p w14:paraId="1878AAF7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-1.53 (-1.71 to -1.33)</w:t>
            </w:r>
          </w:p>
        </w:tc>
        <w:tc>
          <w:tcPr>
            <w:tcW w:w="1559" w:type="dxa"/>
            <w:vAlign w:val="center"/>
          </w:tcPr>
          <w:p w14:paraId="6843869E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1027585B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1611E2EB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73B15EE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Female</w:t>
            </w:r>
          </w:p>
        </w:tc>
        <w:tc>
          <w:tcPr>
            <w:tcW w:w="2268" w:type="dxa"/>
            <w:vAlign w:val="center"/>
          </w:tcPr>
          <w:p w14:paraId="40C53885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-3.29 (-3.38 to -3.20)</w:t>
            </w:r>
          </w:p>
        </w:tc>
        <w:tc>
          <w:tcPr>
            <w:tcW w:w="1559" w:type="dxa"/>
            <w:vAlign w:val="center"/>
          </w:tcPr>
          <w:p w14:paraId="69161B6F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33C9626C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5075452B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DEB5F9C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Male</w:t>
            </w:r>
          </w:p>
        </w:tc>
        <w:tc>
          <w:tcPr>
            <w:tcW w:w="2268" w:type="dxa"/>
            <w:vAlign w:val="center"/>
          </w:tcPr>
          <w:p w14:paraId="09BFA71C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-1.51 (-1.69 to -1.30)</w:t>
            </w:r>
          </w:p>
        </w:tc>
        <w:tc>
          <w:tcPr>
            <w:tcW w:w="1559" w:type="dxa"/>
            <w:vAlign w:val="center"/>
          </w:tcPr>
          <w:p w14:paraId="187AA2EF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63572E24" w14:textId="77777777" w:rsidTr="00875B8A">
        <w:trPr>
          <w:trHeight w:val="613"/>
          <w:jc w:val="center"/>
        </w:trPr>
        <w:tc>
          <w:tcPr>
            <w:tcW w:w="2034" w:type="dxa"/>
            <w:vMerge w:val="restart"/>
            <w:vAlign w:val="center"/>
          </w:tcPr>
          <w:p w14:paraId="4FD19A88" w14:textId="77777777" w:rsidR="00A30571" w:rsidRPr="00574D9E" w:rsidRDefault="00A30571" w:rsidP="00875B8A">
            <w:pPr>
              <w:rPr>
                <w:sz w:val="24"/>
              </w:rPr>
            </w:pPr>
            <w:r w:rsidRPr="00574D9E">
              <w:t>ASMR attributable to high FPG</w:t>
            </w:r>
          </w:p>
        </w:tc>
        <w:tc>
          <w:tcPr>
            <w:tcW w:w="1080" w:type="dxa"/>
            <w:vAlign w:val="center"/>
          </w:tcPr>
          <w:p w14:paraId="37223051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Both</w:t>
            </w:r>
          </w:p>
        </w:tc>
        <w:tc>
          <w:tcPr>
            <w:tcW w:w="2268" w:type="dxa"/>
            <w:vAlign w:val="center"/>
          </w:tcPr>
          <w:p w14:paraId="35A47642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-1.02 (-1.13 to -0.89)</w:t>
            </w:r>
          </w:p>
        </w:tc>
        <w:tc>
          <w:tcPr>
            <w:tcW w:w="1559" w:type="dxa"/>
            <w:vAlign w:val="center"/>
          </w:tcPr>
          <w:p w14:paraId="01598BDC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2C1A1DC8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22921643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96CDEF5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Female</w:t>
            </w:r>
          </w:p>
        </w:tc>
        <w:tc>
          <w:tcPr>
            <w:tcW w:w="2268" w:type="dxa"/>
            <w:vAlign w:val="center"/>
          </w:tcPr>
          <w:p w14:paraId="40B235F2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-1.87 (-1.94 to -1.78)</w:t>
            </w:r>
          </w:p>
        </w:tc>
        <w:tc>
          <w:tcPr>
            <w:tcW w:w="1559" w:type="dxa"/>
            <w:vAlign w:val="center"/>
          </w:tcPr>
          <w:p w14:paraId="0FCC4FB2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  <w:tr w:rsidR="00A30571" w:rsidRPr="00574D9E" w14:paraId="28770643" w14:textId="77777777" w:rsidTr="00875B8A">
        <w:trPr>
          <w:trHeight w:val="306"/>
          <w:jc w:val="center"/>
        </w:trPr>
        <w:tc>
          <w:tcPr>
            <w:tcW w:w="2034" w:type="dxa"/>
            <w:vMerge/>
            <w:vAlign w:val="center"/>
          </w:tcPr>
          <w:p w14:paraId="00F54B64" w14:textId="77777777" w:rsidR="00A30571" w:rsidRPr="00574D9E" w:rsidRDefault="00A30571" w:rsidP="00875B8A">
            <w:pPr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D59E49D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Male</w:t>
            </w:r>
          </w:p>
        </w:tc>
        <w:tc>
          <w:tcPr>
            <w:tcW w:w="2268" w:type="dxa"/>
            <w:vAlign w:val="center"/>
          </w:tcPr>
          <w:p w14:paraId="5CA43819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-1.06 (-1.23 to -0.88)</w:t>
            </w:r>
          </w:p>
        </w:tc>
        <w:tc>
          <w:tcPr>
            <w:tcW w:w="1559" w:type="dxa"/>
            <w:vAlign w:val="center"/>
          </w:tcPr>
          <w:p w14:paraId="2308ECF4" w14:textId="77777777" w:rsidR="00A30571" w:rsidRPr="00574D9E" w:rsidRDefault="00A30571" w:rsidP="00875B8A">
            <w:pPr>
              <w:jc w:val="center"/>
              <w:rPr>
                <w:sz w:val="24"/>
              </w:rPr>
            </w:pPr>
            <w:r w:rsidRPr="00574D9E">
              <w:t>&lt;0.001</w:t>
            </w:r>
          </w:p>
        </w:tc>
      </w:tr>
    </w:tbl>
    <w:p w14:paraId="47B0A77B" w14:textId="793805F6" w:rsidR="0067415F" w:rsidRDefault="00A30571">
      <w:r w:rsidRPr="00DA4FBA">
        <w:rPr>
          <w:rFonts w:ascii="Times New Roman" w:hAnsi="Times New Roman" w:cs="Times New Roman" w:hint="eastAsia"/>
        </w:rPr>
        <w:t>Abbreviations: AAPC, average annual percentage change; CI, confidence interval; DALY, disability-adjusted life year; ASIR, age-standardized incidence rate; ASMR, age-standardized mortality rate; ASDR, age-standardized DALY rate; FPG, fasting plasma glucose.</w:t>
      </w:r>
    </w:p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BA"/>
    <w:rsid w:val="00156ABA"/>
    <w:rsid w:val="004244E6"/>
    <w:rsid w:val="0067415F"/>
    <w:rsid w:val="009D6BCE"/>
    <w:rsid w:val="00A3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B8BB4E-AAFE-4E19-BA02-1FE62A4C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6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6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A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6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6A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6A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6A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6A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6A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6A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6A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6A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6A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A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6A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6A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A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A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6A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6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6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6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6A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6A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6A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A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A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6AB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30571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2026-09-18T03:23:00Z</dcterms:created>
  <dcterms:modified xsi:type="dcterms:W3CDTF">2026-09-18T03:24:00Z</dcterms:modified>
</cp:coreProperties>
</file>