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C3" w:rsidRPr="000046C5" w:rsidRDefault="004B04C3" w:rsidP="004B04C3">
      <w:pPr>
        <w:spacing w:after="40" w:line="240" w:lineRule="auto"/>
        <w:rPr>
          <w:rFonts w:ascii="Times New Roman" w:eastAsia="PMingLiU" w:hAnsi="Times New Roman" w:cs="Times New Roman"/>
          <w:noProof/>
          <w:sz w:val="20"/>
          <w:szCs w:val="20"/>
          <w:lang w:eastAsia="zh-CN"/>
        </w:rPr>
      </w:pPr>
      <w:r w:rsidRPr="000046C5">
        <w:rPr>
          <w:rFonts w:ascii="Times New Roman" w:eastAsia="PMingLiU" w:hAnsi="Times New Roman" w:cs="Times New Roman"/>
          <w:b/>
          <w:sz w:val="20"/>
          <w:szCs w:val="20"/>
          <w:lang w:eastAsia="zh-CN"/>
        </w:rPr>
        <w:t>Supplementary Fig</w:t>
      </w:r>
      <w:r w:rsidRPr="000046C5">
        <w:rPr>
          <w:rFonts w:ascii="Times New Roman" w:eastAsia="DengXian" w:hAnsi="Times New Roman" w:cs="Times New Roman" w:hint="eastAsia"/>
          <w:b/>
          <w:sz w:val="20"/>
          <w:szCs w:val="20"/>
          <w:lang w:eastAsia="zh-CN"/>
        </w:rPr>
        <w:t>.</w:t>
      </w:r>
      <w:r w:rsidRPr="000046C5">
        <w:rPr>
          <w:rFonts w:ascii="Times New Roman" w:eastAsia="PMingLiU" w:hAnsi="Times New Roman" w:cs="Times New Roman"/>
          <w:b/>
          <w:sz w:val="20"/>
          <w:szCs w:val="20"/>
          <w:lang w:eastAsia="zh-CN"/>
        </w:rPr>
        <w:t xml:space="preserve"> 2</w:t>
      </w:r>
      <w:r w:rsidRPr="000046C5">
        <w:rPr>
          <w:rFonts w:ascii="Times New Roman" w:eastAsia="PMingLiU" w:hAnsi="Times New Roman" w:cs="Times New Roman"/>
          <w:noProof/>
          <w:sz w:val="24"/>
          <w:szCs w:val="24"/>
          <w:lang w:eastAsia="zh-CN"/>
        </w:rPr>
        <w:t xml:space="preserve"> </w:t>
      </w:r>
      <w:r w:rsidRPr="000046C5">
        <w:rPr>
          <w:rFonts w:ascii="Times New Roman" w:eastAsia="PMingLiU" w:hAnsi="Times New Roman" w:cs="Times New Roman"/>
          <w:noProof/>
          <w:sz w:val="20"/>
          <w:szCs w:val="20"/>
          <w:lang w:eastAsia="zh-CN"/>
        </w:rPr>
        <w:t>Receiver operating characteristic plots of GAAD and GALAD algorithms (Cobas) and Elecsys AFP, AFP-L3, and PIVKA-II assays for discriminating between early- (A) and all-stage (B) HCC patients and controls. *</w:t>
      </w:r>
      <w:r w:rsidRPr="000046C5">
        <w:rPr>
          <w:rFonts w:ascii="Times New Roman" w:eastAsia="DengXian" w:hAnsi="Times New Roman" w:cs="Times New Roman" w:hint="eastAsia"/>
          <w:i/>
          <w:iCs/>
          <w:noProof/>
          <w:sz w:val="20"/>
          <w:szCs w:val="20"/>
          <w:lang w:eastAsia="zh-CN"/>
        </w:rPr>
        <w:t>P</w:t>
      </w:r>
      <w:r w:rsidRPr="000046C5">
        <w:rPr>
          <w:rFonts w:ascii="Times New Roman" w:eastAsia="DengXian" w:hAnsi="Times New Roman" w:cs="Times New Roman" w:hint="eastAsia"/>
          <w:noProof/>
          <w:sz w:val="20"/>
          <w:szCs w:val="20"/>
          <w:lang w:eastAsia="zh-CN"/>
        </w:rPr>
        <w:t xml:space="preserve"> </w:t>
      </w:r>
      <w:r w:rsidRPr="000046C5">
        <w:rPr>
          <w:rFonts w:ascii="Times New Roman" w:eastAsia="PMingLiU" w:hAnsi="Times New Roman" w:cs="Times New Roman"/>
          <w:noProof/>
          <w:sz w:val="20"/>
          <w:szCs w:val="20"/>
          <w:lang w:eastAsia="zh-CN"/>
        </w:rPr>
        <w:t>&lt;</w:t>
      </w:r>
      <w:r w:rsidRPr="000046C5">
        <w:rPr>
          <w:rFonts w:ascii="Times New Roman" w:eastAsia="DengXian" w:hAnsi="Times New Roman" w:cs="Times New Roman" w:hint="eastAsia"/>
          <w:noProof/>
          <w:sz w:val="20"/>
          <w:szCs w:val="20"/>
          <w:lang w:eastAsia="zh-CN"/>
        </w:rPr>
        <w:t xml:space="preserve"> </w:t>
      </w:r>
      <w:r w:rsidRPr="000046C5">
        <w:rPr>
          <w:rFonts w:ascii="Times New Roman" w:eastAsia="PMingLiU" w:hAnsi="Times New Roman" w:cs="Times New Roman"/>
          <w:noProof/>
          <w:sz w:val="20"/>
          <w:szCs w:val="20"/>
          <w:lang w:eastAsia="zh-CN"/>
        </w:rPr>
        <w:t>0.0001 vs</w:t>
      </w:r>
      <w:r w:rsidRPr="000046C5">
        <w:rPr>
          <w:rFonts w:ascii="Times New Roman" w:eastAsia="DengXian" w:hAnsi="Times New Roman" w:cs="Times New Roman" w:hint="eastAsia"/>
          <w:noProof/>
          <w:sz w:val="20"/>
          <w:szCs w:val="20"/>
          <w:lang w:eastAsia="zh-CN"/>
        </w:rPr>
        <w:t>.</w:t>
      </w:r>
      <w:r w:rsidRPr="000046C5">
        <w:rPr>
          <w:rFonts w:ascii="Times New Roman" w:eastAsia="PMingLiU" w:hAnsi="Times New Roman" w:cs="Times New Roman"/>
          <w:noProof/>
          <w:sz w:val="20"/>
          <w:szCs w:val="20"/>
          <w:lang w:eastAsia="zh-CN"/>
        </w:rPr>
        <w:t xml:space="preserve"> GAAD;</w:t>
      </w:r>
      <w:r w:rsidRPr="000046C5">
        <w:rPr>
          <w:rFonts w:ascii="Times New Roman" w:eastAsia="PMingLiU" w:hAnsi="Times New Roman" w:cs="Times New Roman"/>
          <w:sz w:val="20"/>
          <w:szCs w:val="24"/>
          <w:vertAlign w:val="superscript"/>
          <w:lang w:eastAsia="zh-CN"/>
        </w:rPr>
        <w:t xml:space="preserve"> †</w:t>
      </w:r>
      <w:r w:rsidRPr="000046C5">
        <w:rPr>
          <w:rFonts w:ascii="Times New Roman" w:eastAsia="DengXian" w:hAnsi="Times New Roman" w:cs="Times New Roman" w:hint="eastAsia"/>
          <w:i/>
          <w:iCs/>
          <w:noProof/>
          <w:sz w:val="20"/>
          <w:szCs w:val="20"/>
          <w:lang w:eastAsia="zh-CN"/>
        </w:rPr>
        <w:t>P</w:t>
      </w:r>
      <w:r w:rsidRPr="000046C5">
        <w:rPr>
          <w:rFonts w:ascii="Times New Roman" w:eastAsia="DengXian" w:hAnsi="Times New Roman" w:cs="Times New Roman" w:hint="eastAsia"/>
          <w:noProof/>
          <w:sz w:val="20"/>
          <w:szCs w:val="20"/>
          <w:lang w:eastAsia="zh-CN"/>
        </w:rPr>
        <w:t xml:space="preserve"> </w:t>
      </w:r>
      <w:r w:rsidRPr="000046C5">
        <w:rPr>
          <w:rFonts w:ascii="Times New Roman" w:eastAsia="PMingLiU" w:hAnsi="Times New Roman" w:cs="Times New Roman"/>
          <w:noProof/>
          <w:sz w:val="20"/>
          <w:szCs w:val="20"/>
          <w:lang w:eastAsia="zh-CN"/>
        </w:rPr>
        <w:t>&lt;</w:t>
      </w:r>
      <w:r w:rsidRPr="000046C5">
        <w:rPr>
          <w:rFonts w:ascii="Times New Roman" w:eastAsia="DengXian" w:hAnsi="Times New Roman" w:cs="Times New Roman" w:hint="eastAsia"/>
          <w:noProof/>
          <w:sz w:val="20"/>
          <w:szCs w:val="20"/>
          <w:lang w:eastAsia="zh-CN"/>
        </w:rPr>
        <w:t xml:space="preserve"> </w:t>
      </w:r>
      <w:r w:rsidRPr="000046C5">
        <w:rPr>
          <w:rFonts w:ascii="Times New Roman" w:eastAsia="PMingLiU" w:hAnsi="Times New Roman" w:cs="Times New Roman"/>
          <w:noProof/>
          <w:sz w:val="20"/>
          <w:szCs w:val="20"/>
          <w:lang w:eastAsia="zh-CN"/>
        </w:rPr>
        <w:t>0.0001 vs</w:t>
      </w:r>
      <w:r w:rsidRPr="000046C5">
        <w:rPr>
          <w:rFonts w:ascii="Times New Roman" w:eastAsia="DengXian" w:hAnsi="Times New Roman" w:cs="Times New Roman" w:hint="eastAsia"/>
          <w:noProof/>
          <w:sz w:val="20"/>
          <w:szCs w:val="20"/>
          <w:lang w:eastAsia="zh-CN"/>
        </w:rPr>
        <w:t>.</w:t>
      </w:r>
      <w:r w:rsidRPr="000046C5">
        <w:rPr>
          <w:rFonts w:ascii="Times New Roman" w:eastAsia="PMingLiU" w:hAnsi="Times New Roman" w:cs="Times New Roman"/>
          <w:noProof/>
          <w:sz w:val="20"/>
          <w:szCs w:val="20"/>
          <w:lang w:eastAsia="zh-CN"/>
        </w:rPr>
        <w:t xml:space="preserve"> GALAD. </w:t>
      </w:r>
      <w:r w:rsidRPr="000046C5">
        <w:rPr>
          <w:rFonts w:ascii="Times New Roman" w:eastAsia="PMingLiU" w:hAnsi="Times New Roman" w:cs="Times New Roman"/>
          <w:i/>
          <w:iCs/>
          <w:noProof/>
          <w:sz w:val="20"/>
          <w:szCs w:val="20"/>
          <w:lang w:eastAsia="zh-CN"/>
        </w:rPr>
        <w:t>P</w:t>
      </w:r>
      <w:r w:rsidRPr="000046C5">
        <w:rPr>
          <w:rFonts w:ascii="Times New Roman" w:eastAsia="DengXian" w:hAnsi="Times New Roman" w:cs="Times New Roman" w:hint="eastAsia"/>
          <w:noProof/>
          <w:sz w:val="20"/>
          <w:szCs w:val="20"/>
          <w:lang w:eastAsia="zh-CN"/>
        </w:rPr>
        <w:t>-</w:t>
      </w:r>
      <w:r w:rsidRPr="000046C5">
        <w:rPr>
          <w:rFonts w:ascii="Times New Roman" w:eastAsia="PMingLiU" w:hAnsi="Times New Roman" w:cs="Times New Roman"/>
          <w:noProof/>
          <w:sz w:val="20"/>
          <w:szCs w:val="20"/>
          <w:lang w:eastAsia="zh-CN"/>
        </w:rPr>
        <w:t xml:space="preserve">values for comparisons with other surveillance strategies were non-significant. </w:t>
      </w:r>
      <w:r w:rsidRPr="000046C5">
        <w:rPr>
          <w:rFonts w:ascii="Times New Roman" w:eastAsia="PMingLiU" w:hAnsi="Times New Roman" w:cs="Times New Roman"/>
          <w:noProof/>
          <w:sz w:val="20"/>
          <w:szCs w:val="20"/>
        </w:rPr>
        <w:drawing>
          <wp:inline distT="0" distB="0" distL="0" distR="0">
            <wp:extent cx="5576963" cy="2873371"/>
            <wp:effectExtent l="0" t="0" r="5080" b="3810"/>
            <wp:docPr id="1" name="Picture 1" descr="A comparison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228907" name="Picture 1" descr="A comparison of a grap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948" cy="2885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4C3" w:rsidRPr="000046C5" w:rsidRDefault="004B04C3" w:rsidP="004B04C3">
      <w:pPr>
        <w:spacing w:after="40" w:line="240" w:lineRule="auto"/>
        <w:rPr>
          <w:rFonts w:ascii="Times New Roman" w:eastAsia="PMingLiU" w:hAnsi="Times New Roman" w:cs="Times New Roman"/>
          <w:bCs/>
          <w:sz w:val="20"/>
          <w:szCs w:val="20"/>
          <w:lang w:eastAsia="zh-CN"/>
        </w:rPr>
      </w:pP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 xml:space="preserve">AFP, α-fetoprotein; AFP-L3, </w:t>
      </w:r>
      <w:r w:rsidRPr="000046C5">
        <w:rPr>
          <w:rFonts w:ascii="Times New Roman" w:eastAsia="PMingLiU" w:hAnsi="Times New Roman" w:cs="Times New Roman"/>
          <w:bCs/>
          <w:i/>
          <w:iCs/>
          <w:sz w:val="20"/>
          <w:szCs w:val="20"/>
          <w:lang w:eastAsia="zh-CN"/>
        </w:rPr>
        <w:t>Lens culinaris</w:t>
      </w: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 xml:space="preserve"> agglutinin-reactive fraction of </w:t>
      </w:r>
      <w:r w:rsidRPr="000046C5">
        <w:rPr>
          <w:rFonts w:ascii="Times New Roman" w:eastAsia="PMingLiU" w:hAnsi="Times New Roman" w:cs="Times New Roman"/>
          <w:color w:val="000000"/>
          <w:lang w:eastAsia="zh-CN"/>
        </w:rPr>
        <w:t>α</w:t>
      </w: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 xml:space="preserve">-fetoprotein; AUC, area under the curve; CLD, chronic liver disease; GAAD, gender (biological sex), age, AFP, PIVKA-II; GALAD, gender (biological sex), age, </w:t>
      </w:r>
      <w:r w:rsidRPr="000046C5">
        <w:rPr>
          <w:rFonts w:ascii="Times New Roman" w:eastAsia="PMingLiU" w:hAnsi="Times New Roman" w:cs="Times New Roman"/>
          <w:bCs/>
          <w:color w:val="212121"/>
          <w:sz w:val="20"/>
          <w:szCs w:val="20"/>
          <w:shd w:val="clear" w:color="auto" w:fill="FFFFFF"/>
          <w:lang w:eastAsia="zh-CN"/>
        </w:rPr>
        <w:t xml:space="preserve">AFP-L3, </w:t>
      </w: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 xml:space="preserve">AFP, </w:t>
      </w:r>
      <w:r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>P</w:t>
      </w: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>IVKA-II; HCC, hepatocellular carcinoma; PIVKA-II, protein induced by vitamin K absence or antagonist II.</w:t>
      </w:r>
    </w:p>
    <w:p w:rsidR="00653B95" w:rsidRPr="004B04C3" w:rsidRDefault="00653B95" w:rsidP="004B04C3"/>
    <w:sectPr w:rsidR="00653B95" w:rsidRPr="004B04C3" w:rsidSect="00E60CD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F345A"/>
    <w:rsid w:val="004B04C3"/>
    <w:rsid w:val="00653B95"/>
    <w:rsid w:val="007F345A"/>
    <w:rsid w:val="00FA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2024-10-08T10:25:00Z</dcterms:created>
  <dcterms:modified xsi:type="dcterms:W3CDTF">2024-10-11T01:56:00Z</dcterms:modified>
</cp:coreProperties>
</file>