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45" w:rsidRDefault="00C97345" w:rsidP="00C97345">
      <w:pPr>
        <w:pageBreakBefore/>
        <w:rPr>
          <w:rFonts w:ascii="Times New Roman" w:eastAsia="Segoe UI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  <w:lang w:eastAsia="zh-CN"/>
        </w:rPr>
        <w:t>5</w:t>
      </w:r>
      <w:r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 xml:space="preserve"> </w:t>
      </w:r>
      <w:r>
        <w:rPr>
          <w:rFonts w:ascii="Times New Roman" w:eastAsia="Segoe UI" w:hAnsi="Times New Roman" w:cs="Times New Roman" w:hint="eastAsia"/>
          <w:sz w:val="21"/>
          <w:szCs w:val="21"/>
          <w:lang w:eastAsia="zh-CN"/>
        </w:rPr>
        <w:t>Discriminative performance of the nomogram model versus isolated PPG reduction and benchmark prognostic scores: AUC analysis with DeLong's test</w:t>
      </w:r>
    </w:p>
    <w:tbl>
      <w:tblPr>
        <w:tblW w:w="9173" w:type="dxa"/>
        <w:tblInd w:w="100" w:type="dxa"/>
        <w:tblLook w:val="04A0"/>
      </w:tblPr>
      <w:tblGrid>
        <w:gridCol w:w="1956"/>
        <w:gridCol w:w="2259"/>
        <w:gridCol w:w="2386"/>
        <w:gridCol w:w="1199"/>
        <w:gridCol w:w="1373"/>
      </w:tblGrid>
      <w:tr w:rsidR="00C97345" w:rsidTr="005E3DED">
        <w:trPr>
          <w:trHeight w:val="308"/>
        </w:trPr>
        <w:tc>
          <w:tcPr>
            <w:tcW w:w="19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Model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AUC (95% CI)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absolute AUC improvements vs. Nomogram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Statistic</w:t>
            </w:r>
          </w:p>
        </w:tc>
      </w:tr>
      <w:tr w:rsidR="00C97345" w:rsidTr="005E3DED">
        <w:trPr>
          <w:trHeight w:val="308"/>
        </w:trPr>
        <w:tc>
          <w:tcPr>
            <w:tcW w:w="195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Present model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0.854 (0.792-0.916)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C97345" w:rsidTr="005E3DED">
        <w:trPr>
          <w:trHeight w:val="308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PPG reduction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0.625 (0.537-0.714)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-0.229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Z=</w:t>
            </w: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.98</w:t>
            </w:r>
          </w:p>
        </w:tc>
      </w:tr>
      <w:tr w:rsidR="00C97345" w:rsidTr="005E3DED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Child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‐</w:t>
            </w: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Pugh grade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0.619</w:t>
            </w: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(0.527-0.710)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-0.235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Z=4.6</w:t>
            </w: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</w:tr>
      <w:tr w:rsidR="00C97345" w:rsidTr="005E3DED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 xml:space="preserve">MELD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0.653</w:t>
            </w: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(0.558-0.748)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-0.201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Z=3.91</w:t>
            </w:r>
          </w:p>
        </w:tc>
      </w:tr>
      <w:tr w:rsidR="00C97345" w:rsidTr="005E3DED">
        <w:trPr>
          <w:trHeight w:val="308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MELD-Na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0.652 (0.557-0.747)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-0.202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Z=3.98</w:t>
            </w:r>
          </w:p>
        </w:tc>
      </w:tr>
      <w:tr w:rsidR="00C97345" w:rsidTr="005E3DED">
        <w:trPr>
          <w:trHeight w:val="308"/>
        </w:trPr>
        <w:tc>
          <w:tcPr>
            <w:tcW w:w="1956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MELD 3.0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0.631 (0.538-0.724)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C97345" w:rsidRDefault="00C97345" w:rsidP="005E3DED">
            <w:pPr>
              <w:rPr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-0.223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C97345" w:rsidRDefault="00C97345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Z=</w:t>
            </w:r>
            <w:r>
              <w:rPr>
                <w:rFonts w:ascii="Times New Roman" w:eastAsia="Segoe UI" w:hAnsi="Times New Roman" w:cs="Times New Roman" w:hint="eastAsia"/>
                <w:sz w:val="20"/>
                <w:szCs w:val="20"/>
                <w:lang w:eastAsia="zh-CN"/>
              </w:rPr>
              <w:t>4.11</w:t>
            </w:r>
          </w:p>
        </w:tc>
      </w:tr>
    </w:tbl>
    <w:p w:rsidR="00C97345" w:rsidRDefault="00C97345" w:rsidP="00C973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>PPG, portosystemic pressure gradient; MELD, Model for End-Stage Liver Disease.</w:t>
      </w:r>
    </w:p>
    <w:p w:rsidR="008E64A0" w:rsidRDefault="008E64A0"/>
    <w:sectPr w:rsidR="008E64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C97345"/>
    <w:rsid w:val="008E64A0"/>
    <w:rsid w:val="00C9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2025-08-28T01:42:00Z</dcterms:created>
  <dcterms:modified xsi:type="dcterms:W3CDTF">2025-08-28T01:42:00Z</dcterms:modified>
</cp:coreProperties>
</file>