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97" w:rsidRDefault="00782F97" w:rsidP="00782F97">
      <w:pPr>
        <w:pageBreakBefore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 xml:space="preserve">Supplementary Table </w:t>
      </w:r>
      <w:r>
        <w:rPr>
          <w:rFonts w:ascii="Times New Roman" w:eastAsia="宋体" w:hAnsi="Times New Roman" w:cs="Times New Roman" w:hint="eastAsia"/>
          <w:b/>
          <w:sz w:val="21"/>
          <w:szCs w:val="21"/>
          <w:lang w:eastAsia="zh-CN"/>
        </w:rPr>
        <w:t>4</w:t>
      </w:r>
      <w:r>
        <w:rPr>
          <w:rFonts w:ascii="Times New Roman" w:eastAsia="宋体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bCs/>
          <w:sz w:val="21"/>
          <w:szCs w:val="21"/>
        </w:rPr>
        <w:t>Multivariable logistic regression analysis of predictors for further decompensation within 1 year after TIPS in patients with decompensated cirrhosis</w:t>
      </w:r>
    </w:p>
    <w:tbl>
      <w:tblPr>
        <w:tblW w:w="4997" w:type="pct"/>
        <w:jc w:val="center"/>
        <w:tblLook w:val="04A0"/>
      </w:tblPr>
      <w:tblGrid>
        <w:gridCol w:w="2728"/>
        <w:gridCol w:w="999"/>
        <w:gridCol w:w="323"/>
        <w:gridCol w:w="376"/>
        <w:gridCol w:w="767"/>
        <w:gridCol w:w="812"/>
        <w:gridCol w:w="2630"/>
      </w:tblGrid>
      <w:tr w:rsidR="00782F97" w:rsidTr="005E3DED">
        <w:trPr>
          <w:trHeight w:val="476"/>
          <w:tblHeader/>
          <w:jc w:val="center"/>
        </w:trPr>
        <w:tc>
          <w:tcPr>
            <w:tcW w:w="157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57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β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S.E</w:t>
            </w:r>
          </w:p>
        </w:tc>
        <w:tc>
          <w:tcPr>
            <w:tcW w:w="44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47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152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 (95%CI)</w:t>
            </w:r>
          </w:p>
        </w:tc>
      </w:tr>
      <w:tr w:rsidR="00782F97" w:rsidTr="005E3DED">
        <w:trPr>
          <w:trHeight w:val="495"/>
          <w:tblHeader/>
          <w:jc w:val="center"/>
        </w:trPr>
        <w:tc>
          <w:tcPr>
            <w:tcW w:w="157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F97" w:rsidTr="005E3DED">
        <w:trPr>
          <w:jc w:val="center"/>
        </w:trPr>
        <w:tc>
          <w:tcPr>
            <w:tcW w:w="15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0.538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1.469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0.366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0.714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1.712 (0.096 ~ 30.457)</w:t>
            </w:r>
          </w:p>
        </w:tc>
      </w:tr>
      <w:tr w:rsidR="00782F97" w:rsidTr="005E3DED">
        <w:trPr>
          <w:jc w:val="center"/>
        </w:trPr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ight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epatic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olume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-0.381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-3.047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0.002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0.683 (0.535 ~ 0.873)</w:t>
            </w:r>
          </w:p>
        </w:tc>
      </w:tr>
      <w:tr w:rsidR="00782F97" w:rsidTr="005E3DED">
        <w:trPr>
          <w:jc w:val="center"/>
        </w:trPr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Spleen Volume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&lt;.001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1.435 (1.240 ~ 1.661)</w:t>
            </w:r>
          </w:p>
        </w:tc>
      </w:tr>
      <w:tr w:rsidR="00782F97" w:rsidTr="005E3DED">
        <w:trPr>
          <w:jc w:val="center"/>
        </w:trPr>
        <w:tc>
          <w:tcPr>
            <w:tcW w:w="1579" w:type="pct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PPG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Reduction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0.030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0.961 (0.927 ~ 0.996)</w:t>
            </w:r>
          </w:p>
        </w:tc>
      </w:tr>
      <w:tr w:rsidR="00782F97" w:rsidTr="005E3DED">
        <w:trPr>
          <w:gridAfter w:val="4"/>
          <w:wAfter w:w="2655" w:type="pct"/>
          <w:jc w:val="center"/>
        </w:trPr>
        <w:tc>
          <w:tcPr>
            <w:tcW w:w="2344" w:type="pct"/>
            <w:gridSpan w:val="3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OR: Odds Ratio, CI: Confidence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 xml:space="preserve">. </w:t>
            </w:r>
          </w:p>
          <w:p w:rsidR="00782F97" w:rsidRDefault="00782F97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PPG: Portal Pressure Gradient.</w:t>
            </w:r>
          </w:p>
        </w:tc>
      </w:tr>
    </w:tbl>
    <w:p w:rsidR="00FD1435" w:rsidRDefault="00FD1435"/>
    <w:sectPr w:rsidR="00FD14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782F97"/>
    <w:rsid w:val="00782F97"/>
    <w:rsid w:val="00FD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2025-08-28T01:42:00Z</dcterms:created>
  <dcterms:modified xsi:type="dcterms:W3CDTF">2025-08-28T01:42:00Z</dcterms:modified>
</cp:coreProperties>
</file>