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9D" w:rsidRDefault="00CF0B9D" w:rsidP="00CF0B9D">
      <w:pPr>
        <w:textAlignment w:val="center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b/>
          <w:bCs/>
          <w:szCs w:val="21"/>
          <w:lang/>
        </w:rPr>
        <w:t xml:space="preserve">Supplementary Table </w:t>
      </w:r>
      <w:r>
        <w:rPr>
          <w:rFonts w:ascii="Times New Roman" w:eastAsia="宋体" w:hAnsi="Times New Roman" w:cs="Times New Roman" w:hint="eastAsia"/>
          <w:b/>
          <w:bCs/>
          <w:sz w:val="21"/>
          <w:szCs w:val="21"/>
          <w:lang w:eastAsia="zh-CN"/>
        </w:rPr>
        <w:t>2</w:t>
      </w:r>
      <w:r>
        <w:rPr>
          <w:rFonts w:ascii="Times New Roman" w:eastAsia="宋体" w:hAnsi="Times New Roman" w:cs="Times New Roman" w:hint="eastAsia"/>
          <w:b/>
          <w:bCs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Test-retest reliability and volumetric variation of hepatic/splenic measurements in decompensated cirrhosis patients (n=10)</w:t>
      </w:r>
    </w:p>
    <w:tbl>
      <w:tblPr>
        <w:tblW w:w="10990" w:type="dxa"/>
        <w:tblInd w:w="-1125" w:type="dxa"/>
        <w:tblLayout w:type="fixed"/>
        <w:tblLook w:val="04A0"/>
      </w:tblPr>
      <w:tblGrid>
        <w:gridCol w:w="2009"/>
        <w:gridCol w:w="1659"/>
        <w:gridCol w:w="1341"/>
        <w:gridCol w:w="1041"/>
        <w:gridCol w:w="1556"/>
        <w:gridCol w:w="1434"/>
        <w:gridCol w:w="1950"/>
      </w:tblGrid>
      <w:tr w:rsidR="00CF0B9D" w:rsidTr="005E3DED">
        <w:trPr>
          <w:trHeight w:val="270"/>
        </w:trPr>
        <w:tc>
          <w:tcPr>
            <w:tcW w:w="2009" w:type="dxa"/>
            <w:vMerge w:val="restart"/>
            <w:tcBorders>
              <w:top w:val="single" w:sz="8" w:space="0" w:color="000000" w:themeColor="text1"/>
              <w:left w:val="nil"/>
              <w:bottom w:val="single" w:sz="4" w:space="0" w:color="auto"/>
            </w:tcBorders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Variables</w:t>
            </w:r>
          </w:p>
        </w:tc>
        <w:tc>
          <w:tcPr>
            <w:tcW w:w="1659" w:type="dxa"/>
            <w:vMerge w:val="restart"/>
            <w:tcBorders>
              <w:top w:val="single" w:sz="8" w:space="0" w:color="000000" w:themeColor="text1"/>
              <w:bottom w:val="single" w:sz="4" w:space="0" w:color="auto"/>
            </w:tcBorders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Earlier Scan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br/>
              <w:t>(×100 cm³)</w:t>
            </w:r>
          </w:p>
        </w:tc>
        <w:tc>
          <w:tcPr>
            <w:tcW w:w="1341" w:type="dxa"/>
            <w:vMerge w:val="restart"/>
            <w:tcBorders>
              <w:top w:val="single" w:sz="8" w:space="0" w:color="000000" w:themeColor="text1"/>
              <w:bottom w:val="single" w:sz="4" w:space="0" w:color="auto"/>
            </w:tcBorders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lang w:eastAsia="zh-CN"/>
              </w:rPr>
              <w:t>Later Scan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br/>
              <w:t>(×100 cm³)</w:t>
            </w:r>
          </w:p>
        </w:tc>
        <w:tc>
          <w:tcPr>
            <w:tcW w:w="1041" w:type="dxa"/>
            <w:vMerge w:val="restart"/>
            <w:tcBorders>
              <w:top w:val="single" w:sz="8" w:space="0" w:color="000000" w:themeColor="text1"/>
            </w:tcBorders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P</w:t>
            </w:r>
          </w:p>
        </w:tc>
        <w:tc>
          <w:tcPr>
            <w:tcW w:w="1556" w:type="dxa"/>
            <w:vMerge w:val="restart"/>
            <w:tcBorders>
              <w:top w:val="single" w:sz="8" w:space="0" w:color="000000" w:themeColor="text1"/>
              <w:bottom w:val="single" w:sz="4" w:space="0" w:color="auto"/>
            </w:tcBorders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ICC(2,1)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br/>
              <w:t>(95% CI)</w:t>
            </w:r>
          </w:p>
        </w:tc>
        <w:tc>
          <w:tcPr>
            <w:tcW w:w="3384" w:type="dxa"/>
            <w:gridSpan w:val="2"/>
            <w:tcBorders>
              <w:top w:val="single" w:sz="8" w:space="0" w:color="000000" w:themeColor="text1"/>
              <w:bottom w:val="single" w:sz="8" w:space="0" w:color="000000"/>
            </w:tcBorders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Bland-Altman Analysis</w:t>
            </w:r>
          </w:p>
        </w:tc>
      </w:tr>
      <w:tr w:rsidR="00CF0B9D" w:rsidTr="005E3DED">
        <w:trPr>
          <w:trHeight w:val="270"/>
        </w:trPr>
        <w:tc>
          <w:tcPr>
            <w:tcW w:w="20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Mean Difference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95% LoA</w:t>
            </w:r>
          </w:p>
        </w:tc>
      </w:tr>
      <w:tr w:rsidR="00CF0B9D" w:rsidTr="005E3DED">
        <w:trPr>
          <w:trHeight w:val="270"/>
        </w:trPr>
        <w:tc>
          <w:tcPr>
            <w:tcW w:w="2009" w:type="dxa"/>
            <w:tcBorders>
              <w:top w:val="single" w:sz="8" w:space="0" w:color="000000"/>
            </w:tcBorders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Left hepatic lobe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volume</w:t>
            </w:r>
          </w:p>
        </w:tc>
        <w:tc>
          <w:tcPr>
            <w:tcW w:w="1659" w:type="dxa"/>
            <w:tcBorders>
              <w:top w:val="single" w:sz="8" w:space="0" w:color="000000"/>
            </w:tcBorders>
            <w:noWrap/>
          </w:tcPr>
          <w:p w:rsidR="00CF0B9D" w:rsidRDefault="00CF0B9D" w:rsidP="005E3DED">
            <w:pPr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4.52 (3.46, 6.08)</w:t>
            </w:r>
          </w:p>
        </w:tc>
        <w:tc>
          <w:tcPr>
            <w:tcW w:w="1341" w:type="dxa"/>
            <w:tcBorders>
              <w:top w:val="single" w:sz="8" w:space="0" w:color="000000"/>
            </w:tcBorders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4.24 (3.52, 6.46)</w:t>
            </w:r>
          </w:p>
        </w:tc>
        <w:tc>
          <w:tcPr>
            <w:tcW w:w="1041" w:type="dxa"/>
            <w:tcBorders>
              <w:top w:val="single" w:sz="8" w:space="0" w:color="000000"/>
            </w:tcBorders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0.853</w:t>
            </w:r>
          </w:p>
        </w:tc>
        <w:tc>
          <w:tcPr>
            <w:tcW w:w="1556" w:type="dxa"/>
            <w:tcBorders>
              <w:top w:val="single" w:sz="8" w:space="0" w:color="000000"/>
            </w:tcBorders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0.989 (0.958, 0.997)</w:t>
            </w:r>
          </w:p>
        </w:tc>
        <w:tc>
          <w:tcPr>
            <w:tcW w:w="1434" w:type="dxa"/>
            <w:tcBorders>
              <w:top w:val="single" w:sz="8" w:space="0" w:color="000000"/>
            </w:tcBorders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0.000</w:t>
            </w:r>
          </w:p>
        </w:tc>
        <w:tc>
          <w:tcPr>
            <w:tcW w:w="1950" w:type="dxa"/>
            <w:tcBorders>
              <w:top w:val="single" w:sz="8" w:space="0" w:color="000000"/>
            </w:tcBorders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(-0.794, 0.794)</w:t>
            </w:r>
          </w:p>
        </w:tc>
      </w:tr>
      <w:tr w:rsidR="00CF0B9D" w:rsidTr="005E3DED">
        <w:trPr>
          <w:trHeight w:val="270"/>
        </w:trPr>
        <w:tc>
          <w:tcPr>
            <w:tcW w:w="2009" w:type="dxa"/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Right hepatic lobe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volume</w:t>
            </w:r>
          </w:p>
        </w:tc>
        <w:tc>
          <w:tcPr>
            <w:tcW w:w="1659" w:type="dxa"/>
            <w:noWrap/>
          </w:tcPr>
          <w:p w:rsidR="00CF0B9D" w:rsidRDefault="00CF0B9D" w:rsidP="005E3DED">
            <w:pPr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5.53 (4.67, 7.11)</w:t>
            </w:r>
          </w:p>
        </w:tc>
        <w:tc>
          <w:tcPr>
            <w:tcW w:w="1341" w:type="dxa"/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5.98 (4.82, 6.62)</w:t>
            </w:r>
          </w:p>
        </w:tc>
        <w:tc>
          <w:tcPr>
            <w:tcW w:w="1041" w:type="dxa"/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0.853</w:t>
            </w:r>
          </w:p>
        </w:tc>
        <w:tc>
          <w:tcPr>
            <w:tcW w:w="1556" w:type="dxa"/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0.952 (0.821, 0.988)</w:t>
            </w:r>
          </w:p>
        </w:tc>
        <w:tc>
          <w:tcPr>
            <w:tcW w:w="1434" w:type="dxa"/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0.099</w:t>
            </w:r>
          </w:p>
        </w:tc>
        <w:tc>
          <w:tcPr>
            <w:tcW w:w="1950" w:type="dxa"/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(-1.395, 1.593)</w:t>
            </w:r>
          </w:p>
        </w:tc>
      </w:tr>
      <w:tr w:rsidR="00CF0B9D" w:rsidTr="005E3DED">
        <w:trPr>
          <w:trHeight w:val="270"/>
        </w:trPr>
        <w:tc>
          <w:tcPr>
            <w:tcW w:w="2009" w:type="dxa"/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Caudate lobe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volume</w:t>
            </w:r>
          </w:p>
        </w:tc>
        <w:tc>
          <w:tcPr>
            <w:tcW w:w="1659" w:type="dxa"/>
            <w:noWrap/>
          </w:tcPr>
          <w:p w:rsidR="00CF0B9D" w:rsidRDefault="00CF0B9D" w:rsidP="005E3DED">
            <w:pPr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0.24 (0.16, 0.30)</w:t>
            </w:r>
          </w:p>
        </w:tc>
        <w:tc>
          <w:tcPr>
            <w:tcW w:w="1341" w:type="dxa"/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0.23 (0.20, 0.30)</w:t>
            </w:r>
          </w:p>
        </w:tc>
        <w:tc>
          <w:tcPr>
            <w:tcW w:w="1041" w:type="dxa"/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0.912</w:t>
            </w:r>
          </w:p>
        </w:tc>
        <w:tc>
          <w:tcPr>
            <w:tcW w:w="1556" w:type="dxa"/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0.975 (0.905, 0.994)</w:t>
            </w:r>
          </w:p>
        </w:tc>
        <w:tc>
          <w:tcPr>
            <w:tcW w:w="1434" w:type="dxa"/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-0.001</w:t>
            </w:r>
          </w:p>
        </w:tc>
        <w:tc>
          <w:tcPr>
            <w:tcW w:w="1950" w:type="dxa"/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(-0.079, 0.077)</w:t>
            </w:r>
          </w:p>
        </w:tc>
      </w:tr>
      <w:tr w:rsidR="00CF0B9D" w:rsidTr="005E3DED">
        <w:trPr>
          <w:trHeight w:val="270"/>
        </w:trPr>
        <w:tc>
          <w:tcPr>
            <w:tcW w:w="2009" w:type="dxa"/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Total liver volume</w:t>
            </w:r>
          </w:p>
        </w:tc>
        <w:tc>
          <w:tcPr>
            <w:tcW w:w="1659" w:type="dxa"/>
            <w:noWrap/>
          </w:tcPr>
          <w:p w:rsidR="00CF0B9D" w:rsidRDefault="00CF0B9D" w:rsidP="005E3DED">
            <w:pPr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10.88 (9.16, 13.30)</w:t>
            </w:r>
          </w:p>
        </w:tc>
        <w:tc>
          <w:tcPr>
            <w:tcW w:w="1341" w:type="dxa"/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11.12 (9.52, 12.95)</w:t>
            </w:r>
          </w:p>
        </w:tc>
        <w:tc>
          <w:tcPr>
            <w:tcW w:w="1041" w:type="dxa"/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0.971</w:t>
            </w:r>
          </w:p>
        </w:tc>
        <w:tc>
          <w:tcPr>
            <w:tcW w:w="1556" w:type="dxa"/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0.970 (0.886, 0.993)</w:t>
            </w:r>
          </w:p>
        </w:tc>
        <w:tc>
          <w:tcPr>
            <w:tcW w:w="1434" w:type="dxa"/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0.094</w:t>
            </w:r>
          </w:p>
        </w:tc>
        <w:tc>
          <w:tcPr>
            <w:tcW w:w="1950" w:type="dxa"/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(-2.115, 2.303)</w:t>
            </w:r>
          </w:p>
        </w:tc>
      </w:tr>
      <w:tr w:rsidR="00CF0B9D" w:rsidTr="005E3DED">
        <w:trPr>
          <w:trHeight w:val="285"/>
        </w:trPr>
        <w:tc>
          <w:tcPr>
            <w:tcW w:w="2009" w:type="dxa"/>
            <w:tcBorders>
              <w:bottom w:val="single" w:sz="12" w:space="0" w:color="808080" w:themeColor="background1" w:themeShade="80"/>
            </w:tcBorders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Spleen volume</w:t>
            </w:r>
          </w:p>
        </w:tc>
        <w:tc>
          <w:tcPr>
            <w:tcW w:w="1659" w:type="dxa"/>
            <w:tcBorders>
              <w:bottom w:val="single" w:sz="12" w:space="0" w:color="808080" w:themeColor="background1" w:themeShade="80"/>
            </w:tcBorders>
            <w:noWrap/>
          </w:tcPr>
          <w:p w:rsidR="00CF0B9D" w:rsidRDefault="00CF0B9D" w:rsidP="005E3DED">
            <w:pPr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9.98 ± 5.74</w:t>
            </w:r>
          </w:p>
        </w:tc>
        <w:tc>
          <w:tcPr>
            <w:tcW w:w="1341" w:type="dxa"/>
            <w:tcBorders>
              <w:bottom w:val="single" w:sz="12" w:space="0" w:color="808080" w:themeColor="background1" w:themeShade="80"/>
            </w:tcBorders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10.97 ± 6.</w:t>
            </w:r>
            <w:r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1041" w:type="dxa"/>
            <w:tcBorders>
              <w:bottom w:val="single" w:sz="12" w:space="0" w:color="808080" w:themeColor="background1" w:themeShade="80"/>
            </w:tcBorders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0.772</w:t>
            </w:r>
          </w:p>
        </w:tc>
        <w:tc>
          <w:tcPr>
            <w:tcW w:w="1556" w:type="dxa"/>
            <w:tcBorders>
              <w:bottom w:val="single" w:sz="12" w:space="0" w:color="808080" w:themeColor="background1" w:themeShade="80"/>
            </w:tcBorders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0.982 (0.930, 0.996)</w:t>
            </w:r>
          </w:p>
        </w:tc>
        <w:tc>
          <w:tcPr>
            <w:tcW w:w="1434" w:type="dxa"/>
            <w:tcBorders>
              <w:bottom w:val="single" w:sz="12" w:space="0" w:color="808080" w:themeColor="background1" w:themeShade="80"/>
            </w:tcBorders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0.810</w:t>
            </w:r>
          </w:p>
        </w:tc>
        <w:tc>
          <w:tcPr>
            <w:tcW w:w="1950" w:type="dxa"/>
            <w:tcBorders>
              <w:bottom w:val="single" w:sz="12" w:space="0" w:color="808080" w:themeColor="background1" w:themeShade="80"/>
            </w:tcBorders>
            <w:noWrap/>
          </w:tcPr>
          <w:p w:rsidR="00CF0B9D" w:rsidRDefault="00CF0B9D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(-1.001, 2.621)</w:t>
            </w:r>
          </w:p>
        </w:tc>
      </w:tr>
    </w:tbl>
    <w:p w:rsidR="00CF0B9D" w:rsidRDefault="00CF0B9D" w:rsidP="00CF0B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</w:rPr>
        <w:t>Data are presented as mean ± standard deviation (SD) for normally distributed variables and median (Q₁, Q₃) for non-normally distributed variables.</w:t>
      </w:r>
      <w:r>
        <w:rPr>
          <w:rFonts w:ascii="Times New Roman" w:hAnsi="Times New Roman" w:cs="Times New Roman"/>
          <w:sz w:val="18"/>
          <w:szCs w:val="18"/>
          <w:lang w:eastAsia="zh-CN"/>
        </w:rPr>
        <w:t xml:space="preserve"> ICC(2,1): intraclass correlation coefficient (two-way random-effects, absolute agreement). LoA: limits of agreement. All scans performed within 3 months before TIPS creation.</w:t>
      </w:r>
    </w:p>
    <w:p w:rsidR="00AC7E9D" w:rsidRDefault="00AC7E9D"/>
    <w:sectPr w:rsidR="00AC7E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CF0B9D"/>
    <w:rsid w:val="00AC7E9D"/>
    <w:rsid w:val="00CF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2025-08-28T01:41:00Z</dcterms:created>
  <dcterms:modified xsi:type="dcterms:W3CDTF">2025-08-28T01:41:00Z</dcterms:modified>
</cp:coreProperties>
</file>