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DE" w:rsidRPr="00E902C2" w:rsidRDefault="00D977DE" w:rsidP="00D977DE">
      <w:pPr>
        <w:pStyle w:val="Heading1"/>
        <w:spacing w:line="360" w:lineRule="auto"/>
        <w:jc w:val="center"/>
        <w:rPr>
          <w:rFonts w:eastAsia="Times New Roman Regular"/>
        </w:rPr>
      </w:pPr>
      <w:bookmarkStart w:id="0" w:name="_Toc201419368"/>
      <w:r>
        <w:rPr>
          <w:rFonts w:eastAsia="Times New Roman Regular" w:hint="eastAsia"/>
        </w:rPr>
        <w:t xml:space="preserve">Supplementary </w:t>
      </w:r>
      <w:r w:rsidRPr="00E902C2">
        <w:rPr>
          <w:rFonts w:eastAsia="Times New Roman Regular"/>
        </w:rPr>
        <w:t>Method 1</w:t>
      </w:r>
      <w:bookmarkEnd w:id="0"/>
    </w:p>
    <w:p w:rsidR="00D977DE" w:rsidRPr="00E902C2" w:rsidRDefault="00D977DE" w:rsidP="00D977D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pecially</w:t>
      </w:r>
      <w:r w:rsidRPr="00E902C2">
        <w:rPr>
          <w:rFonts w:ascii="Times New Roman" w:hAnsi="Times New Roman" w:cs="Times New Roman"/>
          <w:sz w:val="24"/>
        </w:rPr>
        <w:t>, when screening the instrumental variables for 35 clinical biomarkers, we used a genome-wide significance threshold (</w:t>
      </w:r>
      <w:r w:rsidRPr="00E902C2">
        <w:rPr>
          <w:rFonts w:ascii="Times New Roman" w:hAnsi="Times New Roman" w:cs="Times New Roman"/>
          <w:i/>
          <w:iCs/>
          <w:sz w:val="24"/>
        </w:rPr>
        <w:t>P</w:t>
      </w:r>
      <w:r w:rsidRPr="00E902C2">
        <w:rPr>
          <w:rFonts w:ascii="Times New Roman" w:hAnsi="Times New Roman" w:cs="Times New Roman"/>
          <w:sz w:val="24"/>
        </w:rPr>
        <w:t xml:space="preserve"> &lt; 5×10⁻⁸). Additionally, we set the single-nucleotide polymorphism (SNP)-specific threshold of the coefficient of determination r² below 0.001, and the width of the linkage disequilibrium region to be greater than 10,000 kilobases (kb). We calculated the F value of the instrumental variable SNPs and excluded the instrumental variables with an F statistic less than 10 to mitigate the bias caused by weak instrumental variables.  </w:t>
      </w:r>
    </w:p>
    <w:p w:rsidR="00605880" w:rsidRDefault="00605880"/>
    <w:sectPr w:rsidR="006058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D977DE"/>
    <w:rsid w:val="00605880"/>
    <w:rsid w:val="00D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77D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7DE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2025-07-13T00:23:00Z</dcterms:created>
  <dcterms:modified xsi:type="dcterms:W3CDTF">2025-07-13T00:23:00Z</dcterms:modified>
</cp:coreProperties>
</file>