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91C18" w14:textId="77777777" w:rsidR="00A25F9E" w:rsidRDefault="00A25F9E" w:rsidP="00A25F9E">
      <w:pPr>
        <w:spacing w:line="360" w:lineRule="auto"/>
        <w:rPr>
          <w:rFonts w:ascii="Times New Roman" w:eastAsia="DengXian" w:hAnsi="Times New Roman" w:cs="Times New Roman"/>
          <w:sz w:val="22"/>
        </w:rPr>
      </w:pPr>
    </w:p>
    <w:p w14:paraId="7D5785AE" w14:textId="77777777" w:rsidR="00A25F9E" w:rsidRDefault="00A25F9E" w:rsidP="00A25F9E">
      <w:pPr>
        <w:spacing w:line="360" w:lineRule="auto"/>
        <w:rPr>
          <w:rFonts w:ascii="Times New Roman" w:eastAsia="DengXian" w:hAnsi="Times New Roman" w:cs="Times New Roman"/>
          <w:b/>
          <w:bCs/>
          <w:sz w:val="22"/>
        </w:rPr>
      </w:pPr>
      <w:r>
        <w:rPr>
          <w:rFonts w:ascii="Times New Roman" w:eastAsia="DengXian" w:hAnsi="Times New Roman" w:cs="Times New Roman"/>
          <w:b/>
          <w:bCs/>
          <w:noProof/>
          <w:sz w:val="22"/>
        </w:rPr>
        <w:drawing>
          <wp:inline distT="0" distB="0" distL="0" distR="0" wp14:anchorId="76169EDB" wp14:editId="5CD92FAB">
            <wp:extent cx="5274310" cy="2301875"/>
            <wp:effectExtent l="0" t="0" r="2540" b="3175"/>
            <wp:docPr id="91332767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327673" name="图片 91332767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0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122A">
        <w:rPr>
          <w:rFonts w:ascii="Times New Roman" w:eastAsia="DengXian" w:hAnsi="Times New Roman" w:cs="Times New Roman"/>
          <w:b/>
          <w:bCs/>
          <w:sz w:val="22"/>
        </w:rPr>
        <w:t xml:space="preserve"> </w:t>
      </w:r>
    </w:p>
    <w:p w14:paraId="21B0508F" w14:textId="77777777" w:rsidR="00A25F9E" w:rsidRPr="004F122A" w:rsidRDefault="00A25F9E" w:rsidP="00A25F9E">
      <w:pPr>
        <w:spacing w:line="360" w:lineRule="auto"/>
        <w:rPr>
          <w:rFonts w:ascii="Times New Roman" w:eastAsia="DengXian" w:hAnsi="Times New Roman" w:cs="Times New Roman"/>
          <w:b/>
          <w:bCs/>
          <w:sz w:val="22"/>
        </w:rPr>
      </w:pPr>
      <w:r w:rsidRPr="0055345D">
        <w:rPr>
          <w:rFonts w:ascii="Times New Roman" w:eastAsia="DengXian" w:hAnsi="Times New Roman" w:cs="Times New Roman"/>
          <w:b/>
          <w:bCs/>
          <w:sz w:val="22"/>
        </w:rPr>
        <w:t xml:space="preserve">Supplementary Figure </w:t>
      </w:r>
      <w:r>
        <w:rPr>
          <w:rFonts w:ascii="Times New Roman" w:eastAsia="DengXian" w:hAnsi="Times New Roman" w:cs="Times New Roman" w:hint="eastAsia"/>
          <w:b/>
          <w:bCs/>
          <w:sz w:val="22"/>
        </w:rPr>
        <w:t>3</w:t>
      </w:r>
      <w:r w:rsidRPr="004F122A">
        <w:rPr>
          <w:rFonts w:ascii="Times New Roman" w:eastAsia="DengXian" w:hAnsi="Times New Roman" w:cs="Times New Roman"/>
          <w:b/>
          <w:bCs/>
          <w:sz w:val="22"/>
        </w:rPr>
        <w:t xml:space="preserve"> </w:t>
      </w:r>
      <w:r w:rsidRPr="00F708C5">
        <w:rPr>
          <w:rFonts w:ascii="Times New Roman" w:eastAsia="DengXian" w:hAnsi="Times New Roman" w:cs="Times New Roman" w:hint="eastAsia"/>
          <w:b/>
          <w:bCs/>
          <w:sz w:val="22"/>
        </w:rPr>
        <w:t xml:space="preserve">Segmented Poisson regression analysis of recovery rates over 24-month follow-up </w:t>
      </w:r>
      <w:r w:rsidRPr="004F122A">
        <w:rPr>
          <w:rFonts w:ascii="Times New Roman" w:eastAsia="DengXian Light" w:hAnsi="Times New Roman" w:cs="Times New Roman"/>
          <w:b/>
          <w:bCs/>
          <w:sz w:val="22"/>
        </w:rPr>
        <w:t>(Pre-Imputation Data)</w:t>
      </w:r>
    </w:p>
    <w:p w14:paraId="040F4A9B" w14:textId="77777777" w:rsidR="00A25F9E" w:rsidRPr="00F708C5" w:rsidRDefault="00A25F9E" w:rsidP="00A25F9E">
      <w:pPr>
        <w:spacing w:line="360" w:lineRule="auto"/>
        <w:rPr>
          <w:rFonts w:ascii="Times New Roman" w:eastAsia="DengXian" w:hAnsi="Times New Roman" w:cs="Times New Roman"/>
          <w:sz w:val="22"/>
        </w:rPr>
      </w:pPr>
      <w:r w:rsidRPr="00F708C5">
        <w:rPr>
          <w:rFonts w:ascii="Times New Roman" w:eastAsia="DengXian" w:hAnsi="Times New Roman" w:cs="Times New Roman" w:hint="eastAsia"/>
          <w:sz w:val="22"/>
        </w:rPr>
        <w:t>The segmented Poisson regression plots illustrate the temporal trends in transition rates over the 24-month period. Solid lines represent the fitted models; circles indicate observed recovery rates. Vertical dashed lines mark the automatically estimated joinpoints.</w:t>
      </w:r>
    </w:p>
    <w:p w14:paraId="59ADC8D1" w14:textId="77777777" w:rsidR="00A25F9E" w:rsidRPr="00F708C5" w:rsidRDefault="00A25F9E" w:rsidP="00A25F9E">
      <w:pPr>
        <w:spacing w:line="360" w:lineRule="auto"/>
        <w:rPr>
          <w:rFonts w:ascii="Times New Roman" w:eastAsia="DengXian" w:hAnsi="Times New Roman" w:cs="Times New Roman"/>
          <w:sz w:val="22"/>
        </w:rPr>
      </w:pPr>
      <w:r w:rsidRPr="00F708C5">
        <w:rPr>
          <w:rFonts w:ascii="Times New Roman" w:eastAsia="DengXian" w:hAnsi="Times New Roman" w:cs="Times New Roman" w:hint="eastAsia"/>
          <w:sz w:val="22"/>
        </w:rPr>
        <w:t>In panel A, the transition rate from high- to medium-risk showed a decline phase from baseline to the joinpoint at 3.7 months (</w:t>
      </w:r>
      <w:r>
        <w:rPr>
          <w:rFonts w:ascii="Times New Roman" w:eastAsia="DengXian" w:hAnsi="Times New Roman" w:cs="Times New Roman" w:hint="eastAsia"/>
          <w:sz w:val="22"/>
        </w:rPr>
        <w:t>p</w:t>
      </w:r>
      <w:r w:rsidRPr="00F708C5">
        <w:rPr>
          <w:rFonts w:ascii="Times New Roman" w:eastAsia="DengXian" w:hAnsi="Times New Roman" w:cs="Times New Roman" w:hint="eastAsia"/>
          <w:sz w:val="22"/>
        </w:rPr>
        <w:t xml:space="preserve"> = 0.003), followed by a plateau phase thereafter. In panel B, the transition rate from medium- to low-risk also displayed two distinct phases: a decline from baseline to the joinpoint at 5.</w:t>
      </w:r>
      <w:r>
        <w:rPr>
          <w:rFonts w:ascii="Times New Roman" w:eastAsia="DengXian" w:hAnsi="Times New Roman" w:cs="Times New Roman" w:hint="eastAsia"/>
          <w:sz w:val="22"/>
        </w:rPr>
        <w:t>8</w:t>
      </w:r>
      <w:r w:rsidRPr="00F708C5">
        <w:rPr>
          <w:rFonts w:ascii="Times New Roman" w:eastAsia="DengXian" w:hAnsi="Times New Roman" w:cs="Times New Roman" w:hint="eastAsia"/>
          <w:sz w:val="22"/>
        </w:rPr>
        <w:t xml:space="preserve"> months (P = 0.0</w:t>
      </w:r>
      <w:r>
        <w:rPr>
          <w:rFonts w:ascii="Times New Roman" w:eastAsia="DengXian" w:hAnsi="Times New Roman" w:cs="Times New Roman" w:hint="eastAsia"/>
          <w:sz w:val="22"/>
        </w:rPr>
        <w:t>49</w:t>
      </w:r>
      <w:r w:rsidRPr="00F708C5">
        <w:rPr>
          <w:rFonts w:ascii="Times New Roman" w:eastAsia="DengXian" w:hAnsi="Times New Roman" w:cs="Times New Roman" w:hint="eastAsia"/>
          <w:sz w:val="22"/>
        </w:rPr>
        <w:t>), after which the trend stabilized.</w:t>
      </w:r>
    </w:p>
    <w:p w14:paraId="7AFDCFB7" w14:textId="77777777" w:rsidR="00A25F9E" w:rsidRPr="004F122A" w:rsidRDefault="00A25F9E" w:rsidP="00A25F9E">
      <w:pPr>
        <w:spacing w:line="360" w:lineRule="auto"/>
        <w:rPr>
          <w:rFonts w:ascii="Times New Roman" w:eastAsia="DengXian" w:hAnsi="Times New Roman" w:cs="Times New Roman"/>
          <w:b/>
          <w:bCs/>
          <w:sz w:val="22"/>
        </w:rPr>
      </w:pPr>
      <w:r w:rsidRPr="00F708C5">
        <w:rPr>
          <w:rFonts w:ascii="Times New Roman" w:eastAsia="DengXian" w:hAnsi="Times New Roman" w:cs="Times New Roman" w:hint="eastAsia"/>
          <w:sz w:val="22"/>
        </w:rPr>
        <w:t>Follow-up time points (interval starting points) included baseline, 1, 3, 6, 9, 12, 15, 18, and 21 months.</w:t>
      </w:r>
    </w:p>
    <w:p w14:paraId="08E71F24" w14:textId="77777777" w:rsidR="00EF7C14" w:rsidRDefault="00EF7C14"/>
    <w:sectPr w:rsidR="00EF7C14" w:rsidSect="00A25F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C14"/>
    <w:rsid w:val="004840C7"/>
    <w:rsid w:val="00A25F9E"/>
    <w:rsid w:val="00E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CEA64B-6736-4178-A012-BDDE32997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7C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7C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7C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7C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7C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7C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7C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7C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7C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7C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7C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7C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7C1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7C1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7C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7C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7C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7C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7C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7C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7C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7C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7C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7C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7C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7C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7C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7C1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7C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2026-05-07T01:39:00Z</dcterms:created>
  <dcterms:modified xsi:type="dcterms:W3CDTF">2026-05-07T01:39:00Z</dcterms:modified>
</cp:coreProperties>
</file>