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ECBD" w14:textId="77777777" w:rsidR="00A21884" w:rsidRPr="007A3E92" w:rsidRDefault="00A21884" w:rsidP="00A21884">
      <w:pPr>
        <w:snapToGrid w:val="0"/>
        <w:spacing w:line="360" w:lineRule="auto"/>
        <w:rPr>
          <w:rFonts w:ascii="Times New Roman" w:eastAsia="SimSun" w:hAnsi="Times New Roman" w:cs="Times New Roman"/>
          <w:kern w:val="0"/>
        </w:rPr>
      </w:pPr>
    </w:p>
    <w:p w14:paraId="1D1A10D0" w14:textId="77777777" w:rsidR="00A21884" w:rsidRPr="007A3E92" w:rsidRDefault="00A21884" w:rsidP="00A21884">
      <w:pPr>
        <w:snapToGrid w:val="0"/>
        <w:spacing w:line="360" w:lineRule="auto"/>
        <w:rPr>
          <w:rFonts w:ascii="Times New Roman" w:eastAsia="SimSun" w:hAnsi="Times New Roman" w:cs="Times New Roman"/>
          <w:color w:val="EE0000"/>
          <w:kern w:val="0"/>
        </w:rPr>
      </w:pPr>
      <w:r>
        <w:rPr>
          <w:noProof/>
        </w:rPr>
        <w:drawing>
          <wp:inline distT="0" distB="0" distL="0" distR="0" wp14:anchorId="074D228E" wp14:editId="35335331">
            <wp:extent cx="5274310" cy="3596640"/>
            <wp:effectExtent l="0" t="0" r="2540" b="3810"/>
            <wp:docPr id="87146248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8659" w14:textId="0C03C299" w:rsidR="0067415F" w:rsidRDefault="00A21884" w:rsidP="00A21884">
      <w:r w:rsidRPr="007A3E92">
        <w:rPr>
          <w:rFonts w:ascii="Times New Roman" w:eastAsia="SimSun" w:hAnsi="Times New Roman" w:cs="Times New Roman"/>
          <w:b/>
          <w:bCs/>
          <w:kern w:val="0"/>
        </w:rPr>
        <w:t>Supplementary Fig. 1. Distribution of 24-h UCE strata in WD and non-WD patients in the primary hypercupriuric referral cohort.</w:t>
      </w:r>
      <w:r>
        <w:rPr>
          <w:rFonts w:ascii="Times New Roman" w:eastAsia="SimSun" w:hAnsi="Times New Roman" w:cs="Times New Roman" w:hint="eastAsia"/>
          <w:b/>
          <w:bCs/>
          <w:kern w:val="0"/>
        </w:rPr>
        <w:t xml:space="preserve"> </w:t>
      </w:r>
      <w:r w:rsidRPr="007A3E92">
        <w:rPr>
          <w:rFonts w:ascii="Times New Roman" w:eastAsia="SimSun" w:hAnsi="Times New Roman" w:cs="Times New Roman"/>
          <w:kern w:val="0"/>
        </w:rPr>
        <w:t xml:space="preserve">Stacked bars show the proportions of patients in each 24-h UCE stratum, defined relative to the upper limit of normal (ULN, 60 </w:t>
      </w:r>
      <w:r w:rsidRPr="007A3E92">
        <w:rPr>
          <w:rFonts w:ascii="Times New Roman" w:hAnsi="Times New Roman" w:cs="Times New Roman"/>
          <w:kern w:val="0"/>
        </w:rPr>
        <w:t>μg/24 h)</w:t>
      </w:r>
      <w:r w:rsidRPr="007A3E92">
        <w:rPr>
          <w:rFonts w:ascii="Times New Roman" w:eastAsia="SimSun" w:hAnsi="Times New Roman" w:cs="Times New Roman"/>
          <w:kern w:val="0"/>
        </w:rPr>
        <w:t>, in the primary analytic cohort (WD, n = 65; non-WD, n = 476). Strata were defined as 1–&lt;2× ULN, 2–&lt;4× ULN, 4–&lt;8× ULN, and ≥8× ULN. Abbreviations: 24-h UCE, 24-hour urinary copper excretion; non-WD, non-Wilson disease; ULN, upper limit of normal; WD, Wilson disease.</w:t>
      </w:r>
    </w:p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¨¬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78"/>
    <w:rsid w:val="004244E6"/>
    <w:rsid w:val="0067415F"/>
    <w:rsid w:val="00A21884"/>
    <w:rsid w:val="00CE3512"/>
    <w:rsid w:val="00D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8BA7-B593-46C9-AB94-270EB3A0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9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9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9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9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2026-06-18T01:23:00Z</dcterms:created>
  <dcterms:modified xsi:type="dcterms:W3CDTF">2026-06-18T01:23:00Z</dcterms:modified>
</cp:coreProperties>
</file>