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DDDE" w14:textId="77777777" w:rsidR="00143ACC" w:rsidRDefault="00143ACC" w:rsidP="00143ACC">
      <w:pP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</w:rPr>
      </w:pPr>
      <w: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</w:rPr>
        <w:t>Supplementary Table S</w:t>
      </w:r>
      <w: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  <w:lang w:eastAsia="zh-CN"/>
        </w:rPr>
        <w:t>7</w:t>
      </w:r>
      <w:r>
        <w:rPr>
          <w:rFonts w:ascii="Times New Roman Bold" w:eastAsia="華康少女文字W5(P)" w:hAnsi="Times New Roman Bold" w:cs="Times New Roman Bold"/>
          <w:b/>
          <w:kern w:val="0"/>
          <w:sz w:val="20"/>
          <w:szCs w:val="20"/>
        </w:rPr>
        <w:t>. Clinical, biochemical, and genetic features of discordant Cp cases</w:t>
      </w:r>
    </w:p>
    <w:tbl>
      <w:tblPr>
        <w:tblW w:w="16548" w:type="dxa"/>
        <w:jc w:val="center"/>
        <w:tblBorders>
          <w:top w:val="none" w:sz="8" w:space="0" w:color="auto"/>
          <w:left w:val="none" w:sz="8" w:space="0" w:color="auto"/>
          <w:bottom w:val="none" w:sz="8" w:space="0" w:color="auto"/>
          <w:right w:val="none" w:sz="8" w:space="0" w:color="auto"/>
          <w:insideH w:val="none" w:sz="6" w:space="0" w:color="auto"/>
          <w:insideV w:val="none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95"/>
        <w:gridCol w:w="936"/>
        <w:gridCol w:w="1400"/>
        <w:gridCol w:w="1420"/>
        <w:gridCol w:w="1040"/>
        <w:gridCol w:w="990"/>
        <w:gridCol w:w="1025"/>
        <w:gridCol w:w="959"/>
        <w:gridCol w:w="860"/>
        <w:gridCol w:w="923"/>
        <w:gridCol w:w="860"/>
        <w:gridCol w:w="920"/>
        <w:gridCol w:w="920"/>
        <w:gridCol w:w="2011"/>
        <w:gridCol w:w="1189"/>
      </w:tblGrid>
      <w:tr w:rsidR="00143ACC" w14:paraId="4EC9D79E" w14:textId="77777777" w:rsidTr="00C45ED6">
        <w:trPr>
          <w:trHeight w:val="1609"/>
          <w:tblHeader/>
          <w:jc w:val="center"/>
        </w:trPr>
        <w:tc>
          <w:tcPr>
            <w:tcW w:w="109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6544E2A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Case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B4763CB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Age, years</w:t>
            </w:r>
          </w:p>
        </w:tc>
        <w:tc>
          <w:tcPr>
            <w:tcW w:w="140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CCC47F9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Final diagnosis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3F20482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 xml:space="preserve">Cp zone </w:t>
            </w:r>
          </w:p>
          <w:p w14:paraId="16A3BC08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(Cp, g/L)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271395A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ALT, U/L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CB1FF3E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AST, U/L</w:t>
            </w:r>
          </w:p>
        </w:tc>
        <w:tc>
          <w:tcPr>
            <w:tcW w:w="1025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399EDA8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Total bilirubin, mg/dL</w:t>
            </w:r>
          </w:p>
        </w:tc>
        <w:tc>
          <w:tcPr>
            <w:tcW w:w="95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33EEA85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Albumin, g/L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FB7DBC3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INR</w:t>
            </w:r>
          </w:p>
        </w:tc>
        <w:tc>
          <w:tcPr>
            <w:tcW w:w="923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B76B3D0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CRP, mg/L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3DD0297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C3, g/L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0B90E08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PTA, %</w:t>
            </w:r>
          </w:p>
        </w:tc>
        <w:tc>
          <w:tcPr>
            <w:tcW w:w="9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65C2511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ChE, U/L</w:t>
            </w:r>
          </w:p>
        </w:tc>
        <w:tc>
          <w:tcPr>
            <w:tcW w:w="2011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806E70C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i/>
                <w:kern w:val="0"/>
                <w:sz w:val="20"/>
                <w:szCs w:val="20"/>
                <w:lang w:eastAsia="zh-CN"/>
              </w:rPr>
              <w:t xml:space="preserve">ATP7B </w:t>
            </w: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result</w:t>
            </w:r>
          </w:p>
        </w:tc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BDAAA73" w14:textId="77777777" w:rsidR="00143ACC" w:rsidRDefault="00143ACC" w:rsidP="00C45ED6">
            <w:pPr>
              <w:snapToGrid w:val="0"/>
              <w:jc w:val="center"/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</w:pPr>
            <w:r>
              <w:rPr>
                <w:rFonts w:ascii="Times New Roman Bold" w:eastAsia="華康少女文字W5(P)" w:hAnsi="Times New Roman Bold" w:cs="Times New Roman Bold"/>
                <w:b/>
                <w:kern w:val="0"/>
                <w:sz w:val="20"/>
                <w:szCs w:val="20"/>
              </w:rPr>
              <w:t>Leipzig score</w:t>
            </w:r>
          </w:p>
        </w:tc>
      </w:tr>
      <w:tr w:rsidR="00143ACC" w14:paraId="04B988DD" w14:textId="77777777" w:rsidTr="00C45ED6">
        <w:trPr>
          <w:trHeight w:val="23"/>
          <w:jc w:val="center"/>
        </w:trPr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0619A12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Case 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B607DEE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FCBE1B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Non-WD; severe HBV-related liver injury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B9DE8B1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High-probability; 0.08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3F49A47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352.30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9CF76A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50.80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7089F5E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7.75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0D6AECA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30.70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6FC6CD3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1.64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CE7B4A4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&gt;5.0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009D73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0.35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4911D96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41.9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E28D278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4576</w:t>
            </w: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F1F0A4E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N</w:t>
            </w:r>
            <w:r>
              <w:rPr>
                <w:rFonts w:ascii="Times New Roman Regular" w:hAnsi="Times New Roman Regular" w:cs="Times New Roman Regular" w:hint="eastAsia"/>
                <w:sz w:val="20"/>
                <w:szCs w:val="20"/>
              </w:rPr>
              <w:t>o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pathogenic or likely pathogenic </w:t>
            </w:r>
            <w:r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  <w:t xml:space="preserve">ATP7B 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variant detected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4DB1B78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3</w:t>
            </w:r>
          </w:p>
        </w:tc>
      </w:tr>
      <w:tr w:rsidR="00143ACC" w14:paraId="4A4CA459" w14:textId="77777777" w:rsidTr="00C45ED6">
        <w:trPr>
          <w:trHeight w:val="23"/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CC43796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Case 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E956342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40DDF26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WD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3369E87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Low-probability; 0.23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16C8645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564.20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B67EE1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1068.00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D26C1DA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5.64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2E790A7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28.50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28A522F2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1.49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23A744E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17.37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78CBEBB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NA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6D7E097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48.5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73CF11F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2076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7FAE73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Heterozygous pathogenic </w:t>
            </w:r>
            <w:r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  <w:t xml:space="preserve">ATP7B </w:t>
            </w:r>
          </w:p>
          <w:p w14:paraId="0F85D2C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c.2333G&gt;T (p.R778L)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BF2BD16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5</w:t>
            </w:r>
          </w:p>
        </w:tc>
      </w:tr>
      <w:tr w:rsidR="00143ACC" w14:paraId="794576F2" w14:textId="77777777" w:rsidTr="00C45ED6">
        <w:trPr>
          <w:trHeight w:val="23"/>
          <w:jc w:val="center"/>
        </w:trPr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949BC6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Case 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CCCAB1C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2CD0AF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WD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F299B1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Low-probability; 0.21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3A30802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49.40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1B2139D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83.10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7A762FF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2.13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B8DBF4E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28.90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7F0F80B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1.62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2687645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29.84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4C8DF85A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0.69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7D7D72E0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44.7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0AD07F1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1658</w:t>
            </w:r>
          </w:p>
        </w:tc>
        <w:tc>
          <w:tcPr>
            <w:tcW w:w="2011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1916791A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jc w:val="center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Biallelic pathogenic </w:t>
            </w:r>
            <w:r>
              <w:rPr>
                <w:rFonts w:ascii="Times New Roman Regular" w:hAnsi="Times New Roman Regular" w:cs="Times New Roman Regular"/>
                <w:i/>
                <w:sz w:val="20"/>
                <w:szCs w:val="20"/>
              </w:rPr>
              <w:t>ATP7B</w:t>
            </w: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 xml:space="preserve"> variants: c.2804C&gt;T (p.Thr935Met) and c.3316G&gt;A (p.Val1106Ile)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0E30980A" w14:textId="77777777" w:rsidR="00143ACC" w:rsidRDefault="00143ACC" w:rsidP="00C45ED6">
            <w:pPr>
              <w:pStyle w:val="NormalWeb"/>
              <w:widowControl/>
              <w:snapToGrid w:val="0"/>
              <w:spacing w:beforeAutospacing="0" w:afterAutospacing="0"/>
              <w:rPr>
                <w:rFonts w:ascii="Times New Roman Regular" w:hAnsi="Times New Roman Regular" w:cs="Times New Roman Regular"/>
                <w:sz w:val="20"/>
                <w:szCs w:val="20"/>
              </w:rPr>
            </w:pPr>
            <w:r>
              <w:rPr>
                <w:rFonts w:ascii="Times New Roman Regular" w:hAnsi="Times New Roman Regular" w:cs="Times New Roman Regular"/>
                <w:sz w:val="20"/>
                <w:szCs w:val="20"/>
              </w:rPr>
              <w:t>6</w:t>
            </w:r>
          </w:p>
        </w:tc>
      </w:tr>
    </w:tbl>
    <w:p w14:paraId="78F10E68" w14:textId="77777777" w:rsidR="00143ACC" w:rsidRDefault="00143ACC" w:rsidP="00143ACC">
      <w:pPr>
        <w:spacing w:after="200" w:line="360" w:lineRule="auto"/>
        <w:rPr>
          <w:rFonts w:ascii="Times New Roman Regular" w:eastAsia="華康少女文字W5(P)" w:hAnsi="Times New Roman Regular" w:cs="Times New Roman Regular"/>
          <w:b/>
          <w:bCs/>
          <w:sz w:val="20"/>
          <w:szCs w:val="20"/>
        </w:rPr>
      </w:pPr>
      <w:r>
        <w:rPr>
          <w:rFonts w:ascii="Times New Roman Bold" w:eastAsia="Times New Roman" w:hAnsi="Times New Roman Bold" w:cs="Times New Roman Bold"/>
          <w:b/>
          <w:kern w:val="0"/>
          <w:sz w:val="20"/>
          <w:szCs w:val="20"/>
          <w:lang w:eastAsia="zh-CN"/>
        </w:rPr>
        <w:t>Footnote: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Discordant Cp cases were defined as WD patients in the Cp low-probability zone (&gt;0.20 g/L) or non-WD patients in the Cp high-probability zone (&lt;0.10 g/L). Final classification was based on integrated Leipzig-based adjudication, </w:t>
      </w:r>
      <w:r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zh-CN"/>
        </w:rPr>
        <w:t>ATP7B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results when available, and established alternative liver disease diagnoses when applicable. </w:t>
      </w:r>
      <w:r>
        <w:rPr>
          <w:rFonts w:ascii="Times New Roman" w:eastAsia="Times New Roman" w:hAnsi="Times New Roman" w:cs="Times New Roman"/>
          <w:bCs/>
          <w:i/>
          <w:kern w:val="0"/>
          <w:sz w:val="20"/>
          <w:szCs w:val="20"/>
          <w:lang w:eastAsia="zh-CN"/>
        </w:rPr>
        <w:t>ATP7B</w:t>
      </w:r>
      <w:r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variants are reported using transcript NM_000053.4 where applicable. Abbreviations: ALT, alanine aminotransferase; AST, aspartate aminotransferase; C3, complement component 3; ChE, cholinesterase; Cp, ceruloplasmin; CRP, C-reactive protein; HBV, hepatitis B virus; INR, international normalized ratio; NA, not available; PTA, prothrombin activity; WD, Wilson disease.</w:t>
      </w:r>
    </w:p>
    <w:p w14:paraId="6BE3E92B" w14:textId="77777777" w:rsidR="0067415F" w:rsidRDefault="0067415F"/>
    <w:sectPr w:rsidR="0067415F" w:rsidSect="00674731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華康少女文字W5(P)">
    <w:altName w:val="Microsoft JhengHei"/>
    <w:charset w:val="88"/>
    <w:family w:val="auto"/>
    <w:pitch w:val="default"/>
    <w:sig w:usb0="800002E3" w:usb1="28CFFCFA" w:usb2="00000016" w:usb3="00000000" w:csb0="00100001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BA"/>
    <w:rsid w:val="00143ACC"/>
    <w:rsid w:val="004244E6"/>
    <w:rsid w:val="0067415F"/>
    <w:rsid w:val="00674731"/>
    <w:rsid w:val="00741FBA"/>
    <w:rsid w:val="00C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9ECD22-FFF3-46C8-9761-F9AE5608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F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F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F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F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FB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qFormat/>
    <w:rsid w:val="00143ACC"/>
    <w:pPr>
      <w:widowControl w:val="0"/>
      <w:spacing w:beforeAutospacing="1" w:after="0" w:afterAutospacing="1" w:line="240" w:lineRule="auto"/>
    </w:pPr>
    <w:rPr>
      <w:rFonts w:eastAsiaTheme="minorEastAsia" w:cs="Times New Roman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2026-06-18T01:22:00Z</dcterms:created>
  <dcterms:modified xsi:type="dcterms:W3CDTF">2026-06-18T01:22:00Z</dcterms:modified>
</cp:coreProperties>
</file>