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4A0E1" w14:textId="77777777" w:rsidR="0060754A" w:rsidRDefault="0060754A" w:rsidP="0060754A">
      <w:pP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rPr>
        <w:t>Supplementary Table S6. Performance of the prespecified Cp three-zone framework across clinically defined non-WD severity strata</w:t>
      </w:r>
    </w:p>
    <w:tbl>
      <w:tblPr>
        <w:tblW w:w="15457" w:type="dxa"/>
        <w:jc w:val="center"/>
        <w:tblBorders>
          <w:top w:val="none" w:sz="8" w:space="0" w:color="auto"/>
          <w:left w:val="none" w:sz="8" w:space="0" w:color="auto"/>
          <w:bottom w:val="none" w:sz="8" w:space="0" w:color="auto"/>
          <w:right w:val="none" w:sz="8" w:space="0" w:color="auto"/>
          <w:insideH w:val="none" w:sz="6" w:space="0" w:color="auto"/>
          <w:insideV w:val="none" w:sz="6" w:space="0" w:color="auto"/>
        </w:tblBorders>
        <w:tblCellMar>
          <w:top w:w="120" w:type="dxa"/>
          <w:left w:w="120" w:type="dxa"/>
          <w:bottom w:w="120" w:type="dxa"/>
          <w:right w:w="120" w:type="dxa"/>
        </w:tblCellMar>
        <w:tblLook w:val="04A0" w:firstRow="1" w:lastRow="0" w:firstColumn="1" w:lastColumn="0" w:noHBand="0" w:noVBand="1"/>
      </w:tblPr>
      <w:tblGrid>
        <w:gridCol w:w="2256"/>
        <w:gridCol w:w="1705"/>
        <w:gridCol w:w="2736"/>
        <w:gridCol w:w="1842"/>
        <w:gridCol w:w="1723"/>
        <w:gridCol w:w="1723"/>
        <w:gridCol w:w="1801"/>
        <w:gridCol w:w="1671"/>
      </w:tblGrid>
      <w:tr w:rsidR="0060754A" w14:paraId="6ADE5676" w14:textId="77777777" w:rsidTr="00C45ED6">
        <w:trPr>
          <w:trHeight w:val="91"/>
          <w:tblHeader/>
          <w:jc w:val="center"/>
        </w:trPr>
        <w:tc>
          <w:tcPr>
            <w:tcW w:w="2256" w:type="dxa"/>
            <w:tcBorders>
              <w:top w:val="single" w:sz="12" w:space="0" w:color="auto"/>
              <w:left w:val="nil"/>
              <w:bottom w:val="nil"/>
              <w:right w:val="nil"/>
            </w:tcBorders>
            <w:tcMar>
              <w:top w:w="160" w:type="dxa"/>
              <w:left w:w="240" w:type="dxa"/>
              <w:bottom w:w="160" w:type="dxa"/>
              <w:right w:w="240" w:type="dxa"/>
            </w:tcMar>
            <w:vAlign w:val="center"/>
          </w:tcPr>
          <w:p w14:paraId="76AC86B7" w14:textId="77777777" w:rsidR="0060754A" w:rsidRDefault="0060754A" w:rsidP="00C45ED6">
            <w:pPr>
              <w:jc w:val="cente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lang w:eastAsia="zh-CN"/>
              </w:rPr>
              <w:t>Comparison</w:t>
            </w:r>
          </w:p>
        </w:tc>
        <w:tc>
          <w:tcPr>
            <w:tcW w:w="1705" w:type="dxa"/>
            <w:tcBorders>
              <w:top w:val="single" w:sz="12" w:space="0" w:color="auto"/>
              <w:left w:val="nil"/>
              <w:bottom w:val="nil"/>
              <w:right w:val="nil"/>
            </w:tcBorders>
            <w:tcMar>
              <w:top w:w="160" w:type="dxa"/>
              <w:left w:w="240" w:type="dxa"/>
              <w:bottom w:w="160" w:type="dxa"/>
              <w:right w:w="240" w:type="dxa"/>
            </w:tcMar>
            <w:vAlign w:val="center"/>
          </w:tcPr>
          <w:p w14:paraId="53B91669" w14:textId="77777777" w:rsidR="0060754A" w:rsidRDefault="0060754A" w:rsidP="00C45ED6">
            <w:pPr>
              <w:jc w:val="cente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lang w:eastAsia="zh-CN"/>
              </w:rPr>
              <w:t>Cp threshold</w:t>
            </w:r>
          </w:p>
        </w:tc>
        <w:tc>
          <w:tcPr>
            <w:tcW w:w="2736" w:type="dxa"/>
            <w:tcBorders>
              <w:top w:val="single" w:sz="12" w:space="0" w:color="auto"/>
              <w:left w:val="nil"/>
              <w:bottom w:val="nil"/>
              <w:right w:val="nil"/>
            </w:tcBorders>
            <w:tcMar>
              <w:top w:w="160" w:type="dxa"/>
              <w:left w:w="240" w:type="dxa"/>
              <w:bottom w:w="160" w:type="dxa"/>
              <w:right w:w="240" w:type="dxa"/>
            </w:tcMar>
            <w:vAlign w:val="center"/>
          </w:tcPr>
          <w:p w14:paraId="7E9DA4C4" w14:textId="77777777" w:rsidR="0060754A" w:rsidRDefault="0060754A" w:rsidP="00C45ED6">
            <w:pPr>
              <w:jc w:val="cente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lang w:eastAsia="zh-CN"/>
              </w:rPr>
              <w:t>Clinical interpretation</w:t>
            </w:r>
          </w:p>
        </w:tc>
        <w:tc>
          <w:tcPr>
            <w:tcW w:w="1842" w:type="dxa"/>
            <w:tcBorders>
              <w:top w:val="single" w:sz="12" w:space="0" w:color="auto"/>
              <w:left w:val="nil"/>
              <w:bottom w:val="nil"/>
              <w:right w:val="nil"/>
            </w:tcBorders>
            <w:tcMar>
              <w:top w:w="160" w:type="dxa"/>
              <w:left w:w="240" w:type="dxa"/>
              <w:bottom w:w="160" w:type="dxa"/>
              <w:right w:w="240" w:type="dxa"/>
            </w:tcMar>
            <w:vAlign w:val="center"/>
          </w:tcPr>
          <w:p w14:paraId="00C6DF41" w14:textId="77777777" w:rsidR="0060754A" w:rsidRDefault="0060754A" w:rsidP="00C45ED6">
            <w:pPr>
              <w:jc w:val="cente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lang w:eastAsia="zh-CN"/>
              </w:rPr>
              <w:t>WD meeting threshold, n/N (%)</w:t>
            </w:r>
          </w:p>
        </w:tc>
        <w:tc>
          <w:tcPr>
            <w:tcW w:w="0" w:type="auto"/>
            <w:tcBorders>
              <w:top w:val="single" w:sz="12" w:space="0" w:color="auto"/>
              <w:left w:val="nil"/>
              <w:bottom w:val="nil"/>
              <w:right w:val="nil"/>
            </w:tcBorders>
            <w:tcMar>
              <w:top w:w="160" w:type="dxa"/>
              <w:left w:w="240" w:type="dxa"/>
              <w:bottom w:w="160" w:type="dxa"/>
              <w:right w:w="240" w:type="dxa"/>
            </w:tcMar>
            <w:vAlign w:val="center"/>
          </w:tcPr>
          <w:p w14:paraId="686F7164" w14:textId="77777777" w:rsidR="0060754A" w:rsidRDefault="0060754A" w:rsidP="00C45ED6">
            <w:pPr>
              <w:jc w:val="cente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lang w:eastAsia="zh-CN"/>
              </w:rPr>
              <w:t>non-WD meeting threshold, n/N (%)</w:t>
            </w:r>
          </w:p>
        </w:tc>
        <w:tc>
          <w:tcPr>
            <w:tcW w:w="1723" w:type="dxa"/>
            <w:tcBorders>
              <w:top w:val="single" w:sz="12" w:space="0" w:color="auto"/>
              <w:left w:val="nil"/>
              <w:bottom w:val="nil"/>
              <w:right w:val="nil"/>
            </w:tcBorders>
            <w:tcMar>
              <w:top w:w="160" w:type="dxa"/>
              <w:left w:w="240" w:type="dxa"/>
              <w:bottom w:w="160" w:type="dxa"/>
              <w:right w:w="240" w:type="dxa"/>
            </w:tcMar>
            <w:vAlign w:val="center"/>
          </w:tcPr>
          <w:p w14:paraId="165DECB0" w14:textId="77777777" w:rsidR="0060754A" w:rsidRDefault="0060754A" w:rsidP="00C45ED6">
            <w:pPr>
              <w:jc w:val="cente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lang w:eastAsia="zh-CN"/>
              </w:rPr>
              <w:t>Patients meeting threshold, n</w:t>
            </w:r>
          </w:p>
        </w:tc>
        <w:tc>
          <w:tcPr>
            <w:tcW w:w="0" w:type="auto"/>
            <w:tcBorders>
              <w:top w:val="single" w:sz="12" w:space="0" w:color="auto"/>
              <w:left w:val="nil"/>
              <w:bottom w:val="nil"/>
              <w:right w:val="nil"/>
            </w:tcBorders>
            <w:tcMar>
              <w:top w:w="160" w:type="dxa"/>
              <w:left w:w="240" w:type="dxa"/>
              <w:bottom w:w="160" w:type="dxa"/>
              <w:right w:w="240" w:type="dxa"/>
            </w:tcMar>
            <w:vAlign w:val="center"/>
          </w:tcPr>
          <w:p w14:paraId="2C4DD556" w14:textId="77777777" w:rsidR="0060754A" w:rsidRDefault="0060754A" w:rsidP="00C45ED6">
            <w:pPr>
              <w:jc w:val="cente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lang w:eastAsia="zh-CN"/>
              </w:rPr>
              <w:t>WD prevalence among patients meeting threshold</w:t>
            </w:r>
          </w:p>
        </w:tc>
        <w:tc>
          <w:tcPr>
            <w:tcW w:w="1671" w:type="dxa"/>
            <w:tcBorders>
              <w:top w:val="single" w:sz="12" w:space="0" w:color="auto"/>
              <w:left w:val="nil"/>
              <w:bottom w:val="nil"/>
              <w:right w:val="nil"/>
            </w:tcBorders>
            <w:tcMar>
              <w:top w:w="160" w:type="dxa"/>
              <w:left w:w="240" w:type="dxa"/>
              <w:bottom w:w="160" w:type="dxa"/>
              <w:right w:w="240" w:type="dxa"/>
            </w:tcMar>
            <w:vAlign w:val="center"/>
          </w:tcPr>
          <w:p w14:paraId="40FDFCF7" w14:textId="77777777" w:rsidR="0060754A" w:rsidRDefault="0060754A" w:rsidP="00C45ED6">
            <w:pPr>
              <w:jc w:val="center"/>
              <w:rPr>
                <w:rFonts w:ascii="Times New Roman Bold" w:eastAsia="華康少女文字W5(P)" w:hAnsi="Times New Roman Bold" w:cs="Times New Roman Bold"/>
                <w:b/>
                <w:kern w:val="0"/>
                <w:sz w:val="20"/>
                <w:szCs w:val="20"/>
              </w:rPr>
            </w:pPr>
            <w:r>
              <w:rPr>
                <w:rFonts w:ascii="Times New Roman Bold" w:eastAsia="華康少女文字W5(P)" w:hAnsi="Times New Roman Bold" w:cs="Times New Roman Bold"/>
                <w:b/>
                <w:kern w:val="0"/>
                <w:sz w:val="20"/>
                <w:szCs w:val="20"/>
                <w:lang w:eastAsia="zh-CN"/>
              </w:rPr>
              <w:t>Correctly classified under binary threshold analysis, n (%)</w:t>
            </w:r>
          </w:p>
        </w:tc>
      </w:tr>
      <w:tr w:rsidR="0060754A" w14:paraId="326330C2" w14:textId="77777777" w:rsidTr="00C45ED6">
        <w:trPr>
          <w:trHeight w:val="91"/>
          <w:jc w:val="center"/>
        </w:trPr>
        <w:tc>
          <w:tcPr>
            <w:tcW w:w="2256" w:type="dxa"/>
            <w:vMerge w:val="restart"/>
            <w:tcBorders>
              <w:top w:val="single" w:sz="4" w:space="0" w:color="auto"/>
              <w:left w:val="nil"/>
              <w:right w:val="nil"/>
            </w:tcBorders>
            <w:tcMar>
              <w:top w:w="160" w:type="dxa"/>
              <w:left w:w="240" w:type="dxa"/>
              <w:bottom w:w="160" w:type="dxa"/>
              <w:right w:w="240" w:type="dxa"/>
            </w:tcMar>
            <w:vAlign w:val="center"/>
          </w:tcPr>
          <w:p w14:paraId="6EA7D8B0"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WD (n=65) vs overall non-WD (n=476)</w:t>
            </w:r>
          </w:p>
        </w:tc>
        <w:tc>
          <w:tcPr>
            <w:tcW w:w="1705" w:type="dxa"/>
            <w:tcBorders>
              <w:top w:val="single" w:sz="4" w:space="0" w:color="auto"/>
              <w:left w:val="nil"/>
              <w:bottom w:val="nil"/>
              <w:right w:val="nil"/>
            </w:tcBorders>
            <w:tcMar>
              <w:top w:w="160" w:type="dxa"/>
              <w:left w:w="240" w:type="dxa"/>
              <w:bottom w:w="160" w:type="dxa"/>
              <w:right w:w="240" w:type="dxa"/>
            </w:tcMar>
            <w:vAlign w:val="center"/>
          </w:tcPr>
          <w:p w14:paraId="3830C077"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 &lt;0.10 g/L</w:t>
            </w:r>
          </w:p>
        </w:tc>
        <w:tc>
          <w:tcPr>
            <w:tcW w:w="2736" w:type="dxa"/>
            <w:tcBorders>
              <w:top w:val="single" w:sz="4" w:space="0" w:color="auto"/>
              <w:left w:val="nil"/>
              <w:bottom w:val="nil"/>
              <w:right w:val="nil"/>
            </w:tcBorders>
            <w:tcMar>
              <w:top w:w="160" w:type="dxa"/>
              <w:left w:w="240" w:type="dxa"/>
              <w:bottom w:w="160" w:type="dxa"/>
              <w:right w:w="240" w:type="dxa"/>
            </w:tcMar>
            <w:vAlign w:val="center"/>
          </w:tcPr>
          <w:p w14:paraId="415457B1"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High-probability threshold</w:t>
            </w:r>
          </w:p>
        </w:tc>
        <w:tc>
          <w:tcPr>
            <w:tcW w:w="1842" w:type="dxa"/>
            <w:tcBorders>
              <w:top w:val="single" w:sz="4" w:space="0" w:color="auto"/>
              <w:left w:val="nil"/>
              <w:bottom w:val="nil"/>
              <w:right w:val="nil"/>
            </w:tcBorders>
            <w:tcMar>
              <w:top w:w="160" w:type="dxa"/>
              <w:left w:w="240" w:type="dxa"/>
              <w:bottom w:w="160" w:type="dxa"/>
              <w:right w:w="240" w:type="dxa"/>
            </w:tcMar>
            <w:vAlign w:val="center"/>
          </w:tcPr>
          <w:p w14:paraId="5BB4FF8F"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48/65 (73.8)</w:t>
            </w:r>
          </w:p>
        </w:tc>
        <w:tc>
          <w:tcPr>
            <w:tcW w:w="0" w:type="auto"/>
            <w:tcBorders>
              <w:top w:val="single" w:sz="4" w:space="0" w:color="auto"/>
              <w:left w:val="nil"/>
              <w:bottom w:val="nil"/>
              <w:right w:val="nil"/>
            </w:tcBorders>
            <w:tcMar>
              <w:top w:w="160" w:type="dxa"/>
              <w:left w:w="240" w:type="dxa"/>
              <w:bottom w:w="160" w:type="dxa"/>
              <w:right w:w="240" w:type="dxa"/>
            </w:tcMar>
            <w:vAlign w:val="center"/>
          </w:tcPr>
          <w:p w14:paraId="49BCFE1F"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1/476 (0.2)</w:t>
            </w:r>
          </w:p>
        </w:tc>
        <w:tc>
          <w:tcPr>
            <w:tcW w:w="1723" w:type="dxa"/>
            <w:tcBorders>
              <w:top w:val="single" w:sz="4" w:space="0" w:color="auto"/>
              <w:left w:val="nil"/>
              <w:bottom w:val="nil"/>
              <w:right w:val="nil"/>
            </w:tcBorders>
            <w:tcMar>
              <w:top w:w="160" w:type="dxa"/>
              <w:left w:w="240" w:type="dxa"/>
              <w:bottom w:w="160" w:type="dxa"/>
              <w:right w:w="240" w:type="dxa"/>
            </w:tcMar>
            <w:vAlign w:val="center"/>
          </w:tcPr>
          <w:p w14:paraId="726DB7B0"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49</w:t>
            </w:r>
          </w:p>
        </w:tc>
        <w:tc>
          <w:tcPr>
            <w:tcW w:w="0" w:type="auto"/>
            <w:tcBorders>
              <w:top w:val="single" w:sz="4" w:space="0" w:color="auto"/>
              <w:left w:val="nil"/>
              <w:bottom w:val="nil"/>
              <w:right w:val="nil"/>
            </w:tcBorders>
            <w:tcMar>
              <w:top w:w="160" w:type="dxa"/>
              <w:left w:w="240" w:type="dxa"/>
              <w:bottom w:w="160" w:type="dxa"/>
              <w:right w:w="240" w:type="dxa"/>
            </w:tcMar>
            <w:vAlign w:val="center"/>
          </w:tcPr>
          <w:p w14:paraId="762CBF43"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48/49 (98.0)</w:t>
            </w:r>
          </w:p>
        </w:tc>
        <w:tc>
          <w:tcPr>
            <w:tcW w:w="1671" w:type="dxa"/>
            <w:tcBorders>
              <w:top w:val="single" w:sz="4" w:space="0" w:color="auto"/>
              <w:left w:val="nil"/>
              <w:bottom w:val="nil"/>
              <w:right w:val="nil"/>
            </w:tcBorders>
            <w:tcMar>
              <w:top w:w="160" w:type="dxa"/>
              <w:left w:w="240" w:type="dxa"/>
              <w:bottom w:w="160" w:type="dxa"/>
              <w:right w:w="240" w:type="dxa"/>
            </w:tcMar>
            <w:vAlign w:val="center"/>
          </w:tcPr>
          <w:p w14:paraId="2DB275F0"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523/541 (96.7)</w:t>
            </w:r>
          </w:p>
        </w:tc>
      </w:tr>
      <w:tr w:rsidR="0060754A" w14:paraId="2AA7E703" w14:textId="77777777" w:rsidTr="00C45ED6">
        <w:trPr>
          <w:trHeight w:val="91"/>
          <w:jc w:val="center"/>
        </w:trPr>
        <w:tc>
          <w:tcPr>
            <w:tcW w:w="2256" w:type="dxa"/>
            <w:vMerge/>
            <w:tcBorders>
              <w:left w:val="nil"/>
              <w:bottom w:val="nil"/>
              <w:right w:val="nil"/>
            </w:tcBorders>
            <w:tcMar>
              <w:top w:w="160" w:type="dxa"/>
              <w:left w:w="240" w:type="dxa"/>
              <w:bottom w:w="160" w:type="dxa"/>
              <w:right w:w="240" w:type="dxa"/>
            </w:tcMar>
            <w:vAlign w:val="center"/>
          </w:tcPr>
          <w:p w14:paraId="225261A3"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p>
        </w:tc>
        <w:tc>
          <w:tcPr>
            <w:tcW w:w="1705" w:type="dxa"/>
            <w:tcBorders>
              <w:top w:val="nil"/>
              <w:left w:val="nil"/>
              <w:bottom w:val="nil"/>
              <w:right w:val="nil"/>
            </w:tcBorders>
            <w:tcMar>
              <w:top w:w="160" w:type="dxa"/>
              <w:left w:w="240" w:type="dxa"/>
              <w:bottom w:w="160" w:type="dxa"/>
              <w:right w:w="240" w:type="dxa"/>
            </w:tcMar>
            <w:vAlign w:val="center"/>
          </w:tcPr>
          <w:p w14:paraId="4D7877EA"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 &gt;0.20 g/L</w:t>
            </w:r>
          </w:p>
        </w:tc>
        <w:tc>
          <w:tcPr>
            <w:tcW w:w="2736" w:type="dxa"/>
            <w:tcBorders>
              <w:top w:val="nil"/>
              <w:left w:val="nil"/>
              <w:bottom w:val="nil"/>
              <w:right w:val="nil"/>
            </w:tcBorders>
            <w:tcMar>
              <w:top w:w="160" w:type="dxa"/>
              <w:left w:w="240" w:type="dxa"/>
              <w:bottom w:w="160" w:type="dxa"/>
              <w:right w:w="240" w:type="dxa"/>
            </w:tcMar>
            <w:vAlign w:val="center"/>
          </w:tcPr>
          <w:p w14:paraId="219D33B6"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Low-probability threshold</w:t>
            </w:r>
          </w:p>
        </w:tc>
        <w:tc>
          <w:tcPr>
            <w:tcW w:w="1842" w:type="dxa"/>
            <w:tcBorders>
              <w:top w:val="nil"/>
              <w:left w:val="nil"/>
              <w:bottom w:val="nil"/>
              <w:right w:val="nil"/>
            </w:tcBorders>
            <w:tcMar>
              <w:top w:w="160" w:type="dxa"/>
              <w:left w:w="240" w:type="dxa"/>
              <w:bottom w:w="160" w:type="dxa"/>
              <w:right w:w="240" w:type="dxa"/>
            </w:tcMar>
            <w:vAlign w:val="center"/>
          </w:tcPr>
          <w:p w14:paraId="26D58F95"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2/65 (3.1)</w:t>
            </w:r>
          </w:p>
        </w:tc>
        <w:tc>
          <w:tcPr>
            <w:tcW w:w="0" w:type="auto"/>
            <w:tcBorders>
              <w:top w:val="nil"/>
              <w:left w:val="nil"/>
              <w:bottom w:val="nil"/>
              <w:right w:val="nil"/>
            </w:tcBorders>
            <w:tcMar>
              <w:top w:w="160" w:type="dxa"/>
              <w:left w:w="240" w:type="dxa"/>
              <w:bottom w:w="160" w:type="dxa"/>
              <w:right w:w="240" w:type="dxa"/>
            </w:tcMar>
            <w:vAlign w:val="center"/>
          </w:tcPr>
          <w:p w14:paraId="69F1FF06"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400/476 (84.0)</w:t>
            </w:r>
          </w:p>
        </w:tc>
        <w:tc>
          <w:tcPr>
            <w:tcW w:w="1723" w:type="dxa"/>
            <w:tcBorders>
              <w:top w:val="nil"/>
              <w:left w:val="nil"/>
              <w:bottom w:val="nil"/>
              <w:right w:val="nil"/>
            </w:tcBorders>
            <w:tcMar>
              <w:top w:w="160" w:type="dxa"/>
              <w:left w:w="240" w:type="dxa"/>
              <w:bottom w:w="160" w:type="dxa"/>
              <w:right w:w="240" w:type="dxa"/>
            </w:tcMar>
            <w:vAlign w:val="center"/>
          </w:tcPr>
          <w:p w14:paraId="03D1765B"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402</w:t>
            </w:r>
          </w:p>
        </w:tc>
        <w:tc>
          <w:tcPr>
            <w:tcW w:w="0" w:type="auto"/>
            <w:tcBorders>
              <w:top w:val="nil"/>
              <w:left w:val="nil"/>
              <w:bottom w:val="nil"/>
              <w:right w:val="nil"/>
            </w:tcBorders>
            <w:tcMar>
              <w:top w:w="160" w:type="dxa"/>
              <w:left w:w="240" w:type="dxa"/>
              <w:bottom w:w="160" w:type="dxa"/>
              <w:right w:w="240" w:type="dxa"/>
            </w:tcMar>
            <w:vAlign w:val="center"/>
          </w:tcPr>
          <w:p w14:paraId="15B62720"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2/402 (0.5)</w:t>
            </w:r>
          </w:p>
        </w:tc>
        <w:tc>
          <w:tcPr>
            <w:tcW w:w="1671" w:type="dxa"/>
            <w:tcBorders>
              <w:top w:val="nil"/>
              <w:left w:val="nil"/>
              <w:bottom w:val="nil"/>
              <w:right w:val="nil"/>
            </w:tcBorders>
            <w:tcMar>
              <w:top w:w="-1" w:type="dxa"/>
              <w:left w:w="-1" w:type="dxa"/>
              <w:bottom w:w="-1" w:type="dxa"/>
              <w:right w:w="-1" w:type="dxa"/>
            </w:tcMar>
            <w:vAlign w:val="center"/>
          </w:tcPr>
          <w:p w14:paraId="0807B498"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463/541 (85.6)</w:t>
            </w:r>
          </w:p>
        </w:tc>
      </w:tr>
      <w:tr w:rsidR="0060754A" w14:paraId="73C36A5C" w14:textId="77777777" w:rsidTr="00C45ED6">
        <w:trPr>
          <w:trHeight w:val="91"/>
          <w:jc w:val="center"/>
        </w:trPr>
        <w:tc>
          <w:tcPr>
            <w:tcW w:w="2256" w:type="dxa"/>
            <w:vMerge w:val="restart"/>
            <w:tcBorders>
              <w:top w:val="nil"/>
              <w:left w:val="nil"/>
              <w:right w:val="nil"/>
            </w:tcBorders>
            <w:tcMar>
              <w:top w:w="160" w:type="dxa"/>
              <w:left w:w="240" w:type="dxa"/>
              <w:bottom w:w="160" w:type="dxa"/>
              <w:right w:w="240" w:type="dxa"/>
            </w:tcMar>
            <w:vAlign w:val="center"/>
          </w:tcPr>
          <w:p w14:paraId="065635FC"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WD (n=65) vs severe/coagulopathic non-WD (n=72)</w:t>
            </w:r>
          </w:p>
        </w:tc>
        <w:tc>
          <w:tcPr>
            <w:tcW w:w="1705" w:type="dxa"/>
            <w:tcBorders>
              <w:top w:val="nil"/>
              <w:left w:val="nil"/>
              <w:bottom w:val="nil"/>
              <w:right w:val="nil"/>
            </w:tcBorders>
            <w:tcMar>
              <w:top w:w="160" w:type="dxa"/>
              <w:left w:w="240" w:type="dxa"/>
              <w:bottom w:w="160" w:type="dxa"/>
              <w:right w:w="240" w:type="dxa"/>
            </w:tcMar>
            <w:vAlign w:val="center"/>
          </w:tcPr>
          <w:p w14:paraId="3461BA7F"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 &lt;0.10 g/L</w:t>
            </w:r>
          </w:p>
        </w:tc>
        <w:tc>
          <w:tcPr>
            <w:tcW w:w="2736" w:type="dxa"/>
            <w:tcBorders>
              <w:top w:val="nil"/>
              <w:left w:val="nil"/>
              <w:bottom w:val="nil"/>
              <w:right w:val="nil"/>
            </w:tcBorders>
            <w:tcMar>
              <w:top w:w="160" w:type="dxa"/>
              <w:left w:w="240" w:type="dxa"/>
              <w:bottom w:w="160" w:type="dxa"/>
              <w:right w:w="240" w:type="dxa"/>
            </w:tcMar>
            <w:vAlign w:val="center"/>
          </w:tcPr>
          <w:p w14:paraId="243C6B96"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High-probability threshold</w:t>
            </w:r>
          </w:p>
        </w:tc>
        <w:tc>
          <w:tcPr>
            <w:tcW w:w="1842" w:type="dxa"/>
            <w:tcBorders>
              <w:top w:val="nil"/>
              <w:left w:val="nil"/>
              <w:bottom w:val="nil"/>
              <w:right w:val="nil"/>
            </w:tcBorders>
            <w:tcMar>
              <w:top w:w="160" w:type="dxa"/>
              <w:left w:w="240" w:type="dxa"/>
              <w:bottom w:w="160" w:type="dxa"/>
              <w:right w:w="240" w:type="dxa"/>
            </w:tcMar>
            <w:vAlign w:val="center"/>
          </w:tcPr>
          <w:p w14:paraId="3CF81DFA"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48/65 (73.8)</w:t>
            </w:r>
          </w:p>
        </w:tc>
        <w:tc>
          <w:tcPr>
            <w:tcW w:w="0" w:type="auto"/>
            <w:tcBorders>
              <w:top w:val="nil"/>
              <w:left w:val="nil"/>
              <w:bottom w:val="nil"/>
              <w:right w:val="nil"/>
            </w:tcBorders>
            <w:tcMar>
              <w:top w:w="160" w:type="dxa"/>
              <w:left w:w="240" w:type="dxa"/>
              <w:bottom w:w="160" w:type="dxa"/>
              <w:right w:w="240" w:type="dxa"/>
            </w:tcMar>
            <w:vAlign w:val="center"/>
          </w:tcPr>
          <w:p w14:paraId="15A2DA69"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0/72 (0.0)</w:t>
            </w:r>
          </w:p>
        </w:tc>
        <w:tc>
          <w:tcPr>
            <w:tcW w:w="1723" w:type="dxa"/>
            <w:tcBorders>
              <w:top w:val="nil"/>
              <w:left w:val="nil"/>
              <w:bottom w:val="nil"/>
              <w:right w:val="nil"/>
            </w:tcBorders>
            <w:tcMar>
              <w:top w:w="160" w:type="dxa"/>
              <w:left w:w="240" w:type="dxa"/>
              <w:bottom w:w="160" w:type="dxa"/>
              <w:right w:w="240" w:type="dxa"/>
            </w:tcMar>
            <w:vAlign w:val="center"/>
          </w:tcPr>
          <w:p w14:paraId="23A1B8C6"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w:t>
            </w:r>
          </w:p>
        </w:tc>
        <w:tc>
          <w:tcPr>
            <w:tcW w:w="0" w:type="auto"/>
            <w:tcBorders>
              <w:top w:val="nil"/>
              <w:left w:val="nil"/>
              <w:bottom w:val="nil"/>
              <w:right w:val="nil"/>
            </w:tcBorders>
            <w:tcMar>
              <w:top w:w="160" w:type="dxa"/>
              <w:left w:w="240" w:type="dxa"/>
              <w:bottom w:w="160" w:type="dxa"/>
              <w:right w:w="240" w:type="dxa"/>
            </w:tcMar>
            <w:vAlign w:val="center"/>
          </w:tcPr>
          <w:p w14:paraId="0E3A5A7A"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48/48 (100.0)</w:t>
            </w:r>
          </w:p>
        </w:tc>
        <w:tc>
          <w:tcPr>
            <w:tcW w:w="1671" w:type="dxa"/>
            <w:tcBorders>
              <w:top w:val="nil"/>
              <w:left w:val="nil"/>
              <w:bottom w:val="nil"/>
              <w:right w:val="nil"/>
            </w:tcBorders>
            <w:tcMar>
              <w:top w:w="160" w:type="dxa"/>
              <w:left w:w="240" w:type="dxa"/>
              <w:bottom w:w="160" w:type="dxa"/>
              <w:right w:w="240" w:type="dxa"/>
            </w:tcMar>
            <w:vAlign w:val="center"/>
          </w:tcPr>
          <w:p w14:paraId="6FADA5ED"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120/137 (87.6)</w:t>
            </w:r>
          </w:p>
        </w:tc>
      </w:tr>
      <w:tr w:rsidR="0060754A" w14:paraId="61EDE8FD" w14:textId="77777777" w:rsidTr="00C45ED6">
        <w:trPr>
          <w:trHeight w:val="91"/>
          <w:jc w:val="center"/>
        </w:trPr>
        <w:tc>
          <w:tcPr>
            <w:tcW w:w="2256" w:type="dxa"/>
            <w:vMerge/>
            <w:tcBorders>
              <w:left w:val="nil"/>
              <w:bottom w:val="nil"/>
              <w:right w:val="nil"/>
            </w:tcBorders>
            <w:tcMar>
              <w:top w:w="160" w:type="dxa"/>
              <w:left w:w="240" w:type="dxa"/>
              <w:bottom w:w="160" w:type="dxa"/>
              <w:right w:w="240" w:type="dxa"/>
            </w:tcMar>
            <w:vAlign w:val="center"/>
          </w:tcPr>
          <w:p w14:paraId="2AD42F9A"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p>
        </w:tc>
        <w:tc>
          <w:tcPr>
            <w:tcW w:w="1705" w:type="dxa"/>
            <w:tcBorders>
              <w:top w:val="nil"/>
              <w:left w:val="nil"/>
              <w:bottom w:val="nil"/>
              <w:right w:val="nil"/>
            </w:tcBorders>
            <w:tcMar>
              <w:top w:w="160" w:type="dxa"/>
              <w:left w:w="240" w:type="dxa"/>
              <w:bottom w:w="160" w:type="dxa"/>
              <w:right w:w="240" w:type="dxa"/>
            </w:tcMar>
            <w:vAlign w:val="center"/>
          </w:tcPr>
          <w:p w14:paraId="2932FB3E"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 &gt;0.20 g/L</w:t>
            </w:r>
          </w:p>
        </w:tc>
        <w:tc>
          <w:tcPr>
            <w:tcW w:w="2736" w:type="dxa"/>
            <w:tcBorders>
              <w:top w:val="nil"/>
              <w:left w:val="nil"/>
              <w:bottom w:val="nil"/>
              <w:right w:val="nil"/>
            </w:tcBorders>
            <w:tcMar>
              <w:top w:w="160" w:type="dxa"/>
              <w:left w:w="240" w:type="dxa"/>
              <w:bottom w:w="160" w:type="dxa"/>
              <w:right w:w="240" w:type="dxa"/>
            </w:tcMar>
            <w:vAlign w:val="center"/>
          </w:tcPr>
          <w:p w14:paraId="23DD3A43"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Low-probability threshold</w:t>
            </w:r>
          </w:p>
        </w:tc>
        <w:tc>
          <w:tcPr>
            <w:tcW w:w="1842" w:type="dxa"/>
            <w:tcBorders>
              <w:top w:val="nil"/>
              <w:left w:val="nil"/>
              <w:bottom w:val="nil"/>
              <w:right w:val="nil"/>
            </w:tcBorders>
            <w:tcMar>
              <w:top w:w="160" w:type="dxa"/>
              <w:left w:w="240" w:type="dxa"/>
              <w:bottom w:w="160" w:type="dxa"/>
              <w:right w:w="240" w:type="dxa"/>
            </w:tcMar>
            <w:vAlign w:val="center"/>
          </w:tcPr>
          <w:p w14:paraId="7910F3C7"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2/65 (3.1)</w:t>
            </w:r>
          </w:p>
        </w:tc>
        <w:tc>
          <w:tcPr>
            <w:tcW w:w="0" w:type="auto"/>
            <w:tcBorders>
              <w:top w:val="nil"/>
              <w:left w:val="nil"/>
              <w:bottom w:val="nil"/>
              <w:right w:val="nil"/>
            </w:tcBorders>
            <w:tcMar>
              <w:top w:w="160" w:type="dxa"/>
              <w:left w:w="240" w:type="dxa"/>
              <w:bottom w:w="160" w:type="dxa"/>
              <w:right w:w="240" w:type="dxa"/>
            </w:tcMar>
            <w:vAlign w:val="center"/>
          </w:tcPr>
          <w:p w14:paraId="1A651886"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49/72 (68.1)</w:t>
            </w:r>
          </w:p>
        </w:tc>
        <w:tc>
          <w:tcPr>
            <w:tcW w:w="1723" w:type="dxa"/>
            <w:tcBorders>
              <w:top w:val="nil"/>
              <w:left w:val="nil"/>
              <w:bottom w:val="nil"/>
              <w:right w:val="nil"/>
            </w:tcBorders>
            <w:tcMar>
              <w:top w:w="160" w:type="dxa"/>
              <w:left w:w="240" w:type="dxa"/>
              <w:bottom w:w="160" w:type="dxa"/>
              <w:right w:w="240" w:type="dxa"/>
            </w:tcMar>
            <w:vAlign w:val="center"/>
          </w:tcPr>
          <w:p w14:paraId="336A90A4"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51</w:t>
            </w:r>
          </w:p>
        </w:tc>
        <w:tc>
          <w:tcPr>
            <w:tcW w:w="0" w:type="auto"/>
            <w:tcBorders>
              <w:top w:val="nil"/>
              <w:left w:val="nil"/>
              <w:bottom w:val="nil"/>
              <w:right w:val="nil"/>
            </w:tcBorders>
            <w:tcMar>
              <w:top w:w="160" w:type="dxa"/>
              <w:left w:w="240" w:type="dxa"/>
              <w:bottom w:w="160" w:type="dxa"/>
              <w:right w:w="240" w:type="dxa"/>
            </w:tcMar>
            <w:vAlign w:val="center"/>
          </w:tcPr>
          <w:p w14:paraId="1A3BB3C1"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2/51 (3.9)</w:t>
            </w:r>
          </w:p>
        </w:tc>
        <w:tc>
          <w:tcPr>
            <w:tcW w:w="1671" w:type="dxa"/>
            <w:tcBorders>
              <w:top w:val="nil"/>
              <w:left w:val="nil"/>
              <w:bottom w:val="nil"/>
              <w:right w:val="nil"/>
            </w:tcBorders>
            <w:tcMar>
              <w:top w:w="-1" w:type="dxa"/>
              <w:left w:w="-1" w:type="dxa"/>
              <w:bottom w:w="-1" w:type="dxa"/>
              <w:right w:w="-1" w:type="dxa"/>
            </w:tcMar>
            <w:vAlign w:val="center"/>
          </w:tcPr>
          <w:p w14:paraId="7F6BB439"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112/137 (81.8)</w:t>
            </w:r>
          </w:p>
        </w:tc>
      </w:tr>
      <w:tr w:rsidR="0060754A" w14:paraId="0ECCBA24" w14:textId="77777777" w:rsidTr="00C45ED6">
        <w:trPr>
          <w:trHeight w:val="91"/>
          <w:jc w:val="center"/>
        </w:trPr>
        <w:tc>
          <w:tcPr>
            <w:tcW w:w="2256" w:type="dxa"/>
            <w:vMerge w:val="restart"/>
            <w:tcBorders>
              <w:top w:val="nil"/>
              <w:left w:val="nil"/>
              <w:right w:val="nil"/>
            </w:tcBorders>
            <w:tcMar>
              <w:top w:w="160" w:type="dxa"/>
              <w:left w:w="240" w:type="dxa"/>
              <w:bottom w:w="160" w:type="dxa"/>
              <w:right w:w="240" w:type="dxa"/>
            </w:tcMar>
            <w:vAlign w:val="center"/>
          </w:tcPr>
          <w:p w14:paraId="7F101C88"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WD (n=65) vs jaundiced non-WD (n=168)</w:t>
            </w:r>
          </w:p>
        </w:tc>
        <w:tc>
          <w:tcPr>
            <w:tcW w:w="1705" w:type="dxa"/>
            <w:tcBorders>
              <w:top w:val="nil"/>
              <w:left w:val="nil"/>
              <w:bottom w:val="nil"/>
              <w:right w:val="nil"/>
            </w:tcBorders>
            <w:tcMar>
              <w:top w:w="160" w:type="dxa"/>
              <w:left w:w="240" w:type="dxa"/>
              <w:bottom w:w="160" w:type="dxa"/>
              <w:right w:w="240" w:type="dxa"/>
            </w:tcMar>
            <w:vAlign w:val="center"/>
          </w:tcPr>
          <w:p w14:paraId="28237974"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 &lt;0.10 g/L</w:t>
            </w:r>
          </w:p>
        </w:tc>
        <w:tc>
          <w:tcPr>
            <w:tcW w:w="2736" w:type="dxa"/>
            <w:tcBorders>
              <w:top w:val="nil"/>
              <w:left w:val="nil"/>
              <w:bottom w:val="nil"/>
              <w:right w:val="nil"/>
            </w:tcBorders>
            <w:tcMar>
              <w:top w:w="160" w:type="dxa"/>
              <w:left w:w="240" w:type="dxa"/>
              <w:bottom w:w="160" w:type="dxa"/>
              <w:right w:w="240" w:type="dxa"/>
            </w:tcMar>
            <w:vAlign w:val="center"/>
          </w:tcPr>
          <w:p w14:paraId="73F72E48"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High-probability threshold</w:t>
            </w:r>
          </w:p>
        </w:tc>
        <w:tc>
          <w:tcPr>
            <w:tcW w:w="1842" w:type="dxa"/>
            <w:tcBorders>
              <w:top w:val="nil"/>
              <w:left w:val="nil"/>
              <w:bottom w:val="nil"/>
              <w:right w:val="nil"/>
            </w:tcBorders>
            <w:tcMar>
              <w:top w:w="160" w:type="dxa"/>
              <w:left w:w="240" w:type="dxa"/>
              <w:bottom w:w="160" w:type="dxa"/>
              <w:right w:w="240" w:type="dxa"/>
            </w:tcMar>
            <w:vAlign w:val="center"/>
          </w:tcPr>
          <w:p w14:paraId="6CB76382"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48/65 (73.8)</w:t>
            </w:r>
          </w:p>
        </w:tc>
        <w:tc>
          <w:tcPr>
            <w:tcW w:w="0" w:type="auto"/>
            <w:tcBorders>
              <w:top w:val="nil"/>
              <w:left w:val="nil"/>
              <w:bottom w:val="nil"/>
              <w:right w:val="nil"/>
            </w:tcBorders>
            <w:tcMar>
              <w:top w:w="160" w:type="dxa"/>
              <w:left w:w="240" w:type="dxa"/>
              <w:bottom w:w="160" w:type="dxa"/>
              <w:right w:w="240" w:type="dxa"/>
            </w:tcMar>
            <w:vAlign w:val="center"/>
          </w:tcPr>
          <w:p w14:paraId="52716D09"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1/168 (0.6)</w:t>
            </w:r>
          </w:p>
        </w:tc>
        <w:tc>
          <w:tcPr>
            <w:tcW w:w="1723" w:type="dxa"/>
            <w:tcBorders>
              <w:top w:val="nil"/>
              <w:left w:val="nil"/>
              <w:bottom w:val="nil"/>
              <w:right w:val="nil"/>
            </w:tcBorders>
            <w:tcMar>
              <w:top w:w="160" w:type="dxa"/>
              <w:left w:w="240" w:type="dxa"/>
              <w:bottom w:w="160" w:type="dxa"/>
              <w:right w:w="240" w:type="dxa"/>
            </w:tcMar>
            <w:vAlign w:val="center"/>
          </w:tcPr>
          <w:p w14:paraId="6470C104"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49</w:t>
            </w:r>
          </w:p>
        </w:tc>
        <w:tc>
          <w:tcPr>
            <w:tcW w:w="0" w:type="auto"/>
            <w:tcBorders>
              <w:top w:val="nil"/>
              <w:left w:val="nil"/>
              <w:bottom w:val="nil"/>
              <w:right w:val="nil"/>
            </w:tcBorders>
            <w:tcMar>
              <w:top w:w="160" w:type="dxa"/>
              <w:left w:w="240" w:type="dxa"/>
              <w:bottom w:w="160" w:type="dxa"/>
              <w:right w:w="240" w:type="dxa"/>
            </w:tcMar>
            <w:vAlign w:val="center"/>
          </w:tcPr>
          <w:p w14:paraId="54A9B2FC"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48/49 (98.0)</w:t>
            </w:r>
          </w:p>
        </w:tc>
        <w:tc>
          <w:tcPr>
            <w:tcW w:w="1671" w:type="dxa"/>
            <w:tcBorders>
              <w:top w:val="nil"/>
              <w:left w:val="nil"/>
              <w:bottom w:val="nil"/>
              <w:right w:val="nil"/>
            </w:tcBorders>
            <w:tcMar>
              <w:top w:w="160" w:type="dxa"/>
              <w:left w:w="240" w:type="dxa"/>
              <w:bottom w:w="160" w:type="dxa"/>
              <w:right w:w="240" w:type="dxa"/>
            </w:tcMar>
            <w:vAlign w:val="center"/>
          </w:tcPr>
          <w:p w14:paraId="0D44430B"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215/233 (92.3)</w:t>
            </w:r>
          </w:p>
        </w:tc>
      </w:tr>
      <w:tr w:rsidR="0060754A" w14:paraId="638D6115" w14:textId="77777777" w:rsidTr="00C45ED6">
        <w:trPr>
          <w:trHeight w:val="91"/>
          <w:jc w:val="center"/>
        </w:trPr>
        <w:tc>
          <w:tcPr>
            <w:tcW w:w="2256" w:type="dxa"/>
            <w:vMerge/>
            <w:tcBorders>
              <w:left w:val="nil"/>
              <w:bottom w:val="nil"/>
              <w:right w:val="nil"/>
            </w:tcBorders>
            <w:tcMar>
              <w:top w:w="160" w:type="dxa"/>
              <w:left w:w="240" w:type="dxa"/>
              <w:bottom w:w="160" w:type="dxa"/>
              <w:right w:w="240" w:type="dxa"/>
            </w:tcMar>
            <w:vAlign w:val="center"/>
          </w:tcPr>
          <w:p w14:paraId="5F0DB2F2"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p>
        </w:tc>
        <w:tc>
          <w:tcPr>
            <w:tcW w:w="1705" w:type="dxa"/>
            <w:tcBorders>
              <w:top w:val="nil"/>
              <w:left w:val="nil"/>
              <w:bottom w:val="nil"/>
              <w:right w:val="nil"/>
            </w:tcBorders>
            <w:tcMar>
              <w:top w:w="160" w:type="dxa"/>
              <w:left w:w="240" w:type="dxa"/>
              <w:bottom w:w="160" w:type="dxa"/>
              <w:right w:w="240" w:type="dxa"/>
            </w:tcMar>
            <w:vAlign w:val="center"/>
          </w:tcPr>
          <w:p w14:paraId="2B96CCC6"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 &gt;0.20 g/L</w:t>
            </w:r>
          </w:p>
        </w:tc>
        <w:tc>
          <w:tcPr>
            <w:tcW w:w="2736" w:type="dxa"/>
            <w:tcBorders>
              <w:top w:val="nil"/>
              <w:left w:val="nil"/>
              <w:bottom w:val="nil"/>
              <w:right w:val="nil"/>
            </w:tcBorders>
            <w:tcMar>
              <w:top w:w="160" w:type="dxa"/>
              <w:left w:w="240" w:type="dxa"/>
              <w:bottom w:w="160" w:type="dxa"/>
              <w:right w:w="240" w:type="dxa"/>
            </w:tcMar>
            <w:vAlign w:val="center"/>
          </w:tcPr>
          <w:p w14:paraId="533AA01F"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Low-probability threshold</w:t>
            </w:r>
          </w:p>
        </w:tc>
        <w:tc>
          <w:tcPr>
            <w:tcW w:w="1842" w:type="dxa"/>
            <w:tcBorders>
              <w:top w:val="nil"/>
              <w:left w:val="nil"/>
              <w:bottom w:val="nil"/>
              <w:right w:val="nil"/>
            </w:tcBorders>
            <w:tcMar>
              <w:top w:w="160" w:type="dxa"/>
              <w:left w:w="240" w:type="dxa"/>
              <w:bottom w:w="160" w:type="dxa"/>
              <w:right w:w="240" w:type="dxa"/>
            </w:tcMar>
            <w:vAlign w:val="center"/>
          </w:tcPr>
          <w:p w14:paraId="0B1D9716"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2/65 (3.1)</w:t>
            </w:r>
          </w:p>
        </w:tc>
        <w:tc>
          <w:tcPr>
            <w:tcW w:w="0" w:type="auto"/>
            <w:tcBorders>
              <w:top w:val="nil"/>
              <w:left w:val="nil"/>
              <w:bottom w:val="nil"/>
              <w:right w:val="nil"/>
            </w:tcBorders>
            <w:tcMar>
              <w:top w:w="160" w:type="dxa"/>
              <w:left w:w="240" w:type="dxa"/>
              <w:bottom w:w="160" w:type="dxa"/>
              <w:right w:w="240" w:type="dxa"/>
            </w:tcMar>
            <w:vAlign w:val="center"/>
          </w:tcPr>
          <w:p w14:paraId="0939E7F5"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164/168 (97.6)</w:t>
            </w:r>
          </w:p>
        </w:tc>
        <w:tc>
          <w:tcPr>
            <w:tcW w:w="1723" w:type="dxa"/>
            <w:tcBorders>
              <w:top w:val="nil"/>
              <w:left w:val="nil"/>
              <w:bottom w:val="nil"/>
              <w:right w:val="nil"/>
            </w:tcBorders>
            <w:tcMar>
              <w:top w:w="160" w:type="dxa"/>
              <w:left w:w="240" w:type="dxa"/>
              <w:bottom w:w="160" w:type="dxa"/>
              <w:right w:w="240" w:type="dxa"/>
            </w:tcMar>
            <w:vAlign w:val="center"/>
          </w:tcPr>
          <w:p w14:paraId="0D8467FE"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166</w:t>
            </w:r>
          </w:p>
        </w:tc>
        <w:tc>
          <w:tcPr>
            <w:tcW w:w="0" w:type="auto"/>
            <w:tcBorders>
              <w:top w:val="nil"/>
              <w:left w:val="nil"/>
              <w:bottom w:val="nil"/>
              <w:right w:val="nil"/>
            </w:tcBorders>
            <w:tcMar>
              <w:top w:w="160" w:type="dxa"/>
              <w:left w:w="240" w:type="dxa"/>
              <w:bottom w:w="160" w:type="dxa"/>
              <w:right w:w="240" w:type="dxa"/>
            </w:tcMar>
            <w:vAlign w:val="center"/>
          </w:tcPr>
          <w:p w14:paraId="2B96216A"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2/166 (1.2)</w:t>
            </w:r>
          </w:p>
        </w:tc>
        <w:tc>
          <w:tcPr>
            <w:tcW w:w="1671" w:type="dxa"/>
            <w:tcBorders>
              <w:top w:val="nil"/>
              <w:left w:val="nil"/>
              <w:bottom w:val="nil"/>
              <w:right w:val="nil"/>
            </w:tcBorders>
            <w:tcMar>
              <w:top w:w="-1" w:type="dxa"/>
              <w:left w:w="-1" w:type="dxa"/>
              <w:bottom w:w="-1" w:type="dxa"/>
              <w:right w:w="-1" w:type="dxa"/>
            </w:tcMar>
            <w:vAlign w:val="center"/>
          </w:tcPr>
          <w:p w14:paraId="398CA471"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227/233 (97.4)</w:t>
            </w:r>
          </w:p>
        </w:tc>
      </w:tr>
      <w:tr w:rsidR="0060754A" w14:paraId="7E2CCAA0" w14:textId="77777777" w:rsidTr="00C45ED6">
        <w:trPr>
          <w:trHeight w:val="91"/>
          <w:jc w:val="center"/>
        </w:trPr>
        <w:tc>
          <w:tcPr>
            <w:tcW w:w="2256" w:type="dxa"/>
            <w:vMerge w:val="restart"/>
            <w:tcBorders>
              <w:top w:val="nil"/>
              <w:left w:val="nil"/>
              <w:right w:val="nil"/>
            </w:tcBorders>
            <w:tcMar>
              <w:top w:w="160" w:type="dxa"/>
              <w:left w:w="240" w:type="dxa"/>
              <w:bottom w:w="160" w:type="dxa"/>
              <w:right w:w="240" w:type="dxa"/>
            </w:tcMar>
            <w:vAlign w:val="center"/>
          </w:tcPr>
          <w:p w14:paraId="41D26142"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WD (n=65) vs mild non-WD (n=236)</w:t>
            </w:r>
          </w:p>
        </w:tc>
        <w:tc>
          <w:tcPr>
            <w:tcW w:w="1705" w:type="dxa"/>
            <w:tcBorders>
              <w:top w:val="nil"/>
              <w:left w:val="nil"/>
              <w:bottom w:val="nil"/>
              <w:right w:val="nil"/>
            </w:tcBorders>
            <w:tcMar>
              <w:top w:w="160" w:type="dxa"/>
              <w:left w:w="240" w:type="dxa"/>
              <w:bottom w:w="160" w:type="dxa"/>
              <w:right w:w="240" w:type="dxa"/>
            </w:tcMar>
            <w:vAlign w:val="center"/>
          </w:tcPr>
          <w:p w14:paraId="3EE9F9C4"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 &lt;0.10 g/L</w:t>
            </w:r>
          </w:p>
        </w:tc>
        <w:tc>
          <w:tcPr>
            <w:tcW w:w="2736" w:type="dxa"/>
            <w:tcBorders>
              <w:top w:val="nil"/>
              <w:left w:val="nil"/>
              <w:bottom w:val="nil"/>
              <w:right w:val="nil"/>
            </w:tcBorders>
            <w:tcMar>
              <w:top w:w="160" w:type="dxa"/>
              <w:left w:w="240" w:type="dxa"/>
              <w:bottom w:w="160" w:type="dxa"/>
              <w:right w:w="240" w:type="dxa"/>
            </w:tcMar>
            <w:vAlign w:val="center"/>
          </w:tcPr>
          <w:p w14:paraId="311FB769"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High-probability threshold</w:t>
            </w:r>
          </w:p>
        </w:tc>
        <w:tc>
          <w:tcPr>
            <w:tcW w:w="1842" w:type="dxa"/>
            <w:tcBorders>
              <w:top w:val="nil"/>
              <w:left w:val="nil"/>
              <w:bottom w:val="nil"/>
              <w:right w:val="nil"/>
            </w:tcBorders>
            <w:tcMar>
              <w:top w:w="160" w:type="dxa"/>
              <w:left w:w="240" w:type="dxa"/>
              <w:bottom w:w="160" w:type="dxa"/>
              <w:right w:w="240" w:type="dxa"/>
            </w:tcMar>
            <w:vAlign w:val="center"/>
          </w:tcPr>
          <w:p w14:paraId="28CBFD81"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48/65 (73.8)</w:t>
            </w:r>
          </w:p>
        </w:tc>
        <w:tc>
          <w:tcPr>
            <w:tcW w:w="0" w:type="auto"/>
            <w:tcBorders>
              <w:top w:val="nil"/>
              <w:left w:val="nil"/>
              <w:bottom w:val="nil"/>
              <w:right w:val="nil"/>
            </w:tcBorders>
            <w:tcMar>
              <w:top w:w="160" w:type="dxa"/>
              <w:left w:w="240" w:type="dxa"/>
              <w:bottom w:w="160" w:type="dxa"/>
              <w:right w:w="240" w:type="dxa"/>
            </w:tcMar>
            <w:vAlign w:val="center"/>
          </w:tcPr>
          <w:p w14:paraId="34C906D8"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0/236 (0.0)</w:t>
            </w:r>
          </w:p>
        </w:tc>
        <w:tc>
          <w:tcPr>
            <w:tcW w:w="1723" w:type="dxa"/>
            <w:tcBorders>
              <w:top w:val="nil"/>
              <w:left w:val="nil"/>
              <w:bottom w:val="nil"/>
              <w:right w:val="nil"/>
            </w:tcBorders>
            <w:tcMar>
              <w:top w:w="160" w:type="dxa"/>
              <w:left w:w="240" w:type="dxa"/>
              <w:bottom w:w="160" w:type="dxa"/>
              <w:right w:w="240" w:type="dxa"/>
            </w:tcMar>
            <w:vAlign w:val="center"/>
          </w:tcPr>
          <w:p w14:paraId="1F18632A"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w:t>
            </w:r>
          </w:p>
        </w:tc>
        <w:tc>
          <w:tcPr>
            <w:tcW w:w="0" w:type="auto"/>
            <w:tcBorders>
              <w:top w:val="nil"/>
              <w:left w:val="nil"/>
              <w:bottom w:val="nil"/>
              <w:right w:val="nil"/>
            </w:tcBorders>
            <w:tcMar>
              <w:top w:w="160" w:type="dxa"/>
              <w:left w:w="240" w:type="dxa"/>
              <w:bottom w:w="160" w:type="dxa"/>
              <w:right w:w="240" w:type="dxa"/>
            </w:tcMar>
            <w:vAlign w:val="center"/>
          </w:tcPr>
          <w:p w14:paraId="05A0FBCE"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48/48 (100.0)</w:t>
            </w:r>
          </w:p>
        </w:tc>
        <w:tc>
          <w:tcPr>
            <w:tcW w:w="1671" w:type="dxa"/>
            <w:tcBorders>
              <w:top w:val="nil"/>
              <w:left w:val="nil"/>
              <w:bottom w:val="nil"/>
              <w:right w:val="nil"/>
            </w:tcBorders>
            <w:tcMar>
              <w:top w:w="160" w:type="dxa"/>
              <w:left w:w="240" w:type="dxa"/>
              <w:bottom w:w="160" w:type="dxa"/>
              <w:right w:w="240" w:type="dxa"/>
            </w:tcMar>
            <w:vAlign w:val="center"/>
          </w:tcPr>
          <w:p w14:paraId="0BE8D47F"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284/301 (94.4)</w:t>
            </w:r>
          </w:p>
        </w:tc>
      </w:tr>
      <w:tr w:rsidR="0060754A" w14:paraId="2B230A84" w14:textId="77777777" w:rsidTr="00C45ED6">
        <w:trPr>
          <w:trHeight w:val="91"/>
          <w:jc w:val="center"/>
        </w:trPr>
        <w:tc>
          <w:tcPr>
            <w:tcW w:w="2256" w:type="dxa"/>
            <w:vMerge/>
            <w:tcBorders>
              <w:left w:val="nil"/>
              <w:bottom w:val="single" w:sz="12" w:space="0" w:color="auto"/>
              <w:right w:val="nil"/>
            </w:tcBorders>
            <w:tcMar>
              <w:top w:w="160" w:type="dxa"/>
              <w:left w:w="240" w:type="dxa"/>
              <w:bottom w:w="160" w:type="dxa"/>
              <w:right w:w="240" w:type="dxa"/>
            </w:tcMar>
            <w:vAlign w:val="center"/>
          </w:tcPr>
          <w:p w14:paraId="176648B3"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p>
        </w:tc>
        <w:tc>
          <w:tcPr>
            <w:tcW w:w="1705" w:type="dxa"/>
            <w:tcBorders>
              <w:top w:val="nil"/>
              <w:left w:val="nil"/>
              <w:bottom w:val="single" w:sz="12" w:space="0" w:color="auto"/>
              <w:right w:val="nil"/>
            </w:tcBorders>
            <w:tcMar>
              <w:top w:w="160" w:type="dxa"/>
              <w:left w:w="240" w:type="dxa"/>
              <w:bottom w:w="160" w:type="dxa"/>
              <w:right w:w="240" w:type="dxa"/>
            </w:tcMar>
            <w:vAlign w:val="center"/>
          </w:tcPr>
          <w:p w14:paraId="49FFB625"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Cp &gt;0.20 g/L</w:t>
            </w:r>
          </w:p>
        </w:tc>
        <w:tc>
          <w:tcPr>
            <w:tcW w:w="2736" w:type="dxa"/>
            <w:tcBorders>
              <w:top w:val="nil"/>
              <w:left w:val="nil"/>
              <w:bottom w:val="single" w:sz="12" w:space="0" w:color="auto"/>
              <w:right w:val="nil"/>
            </w:tcBorders>
            <w:tcMar>
              <w:top w:w="160" w:type="dxa"/>
              <w:left w:w="240" w:type="dxa"/>
              <w:bottom w:w="160" w:type="dxa"/>
              <w:right w:w="240" w:type="dxa"/>
            </w:tcMar>
            <w:vAlign w:val="center"/>
          </w:tcPr>
          <w:p w14:paraId="71FB8F57"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Low-probability threshold</w:t>
            </w:r>
          </w:p>
        </w:tc>
        <w:tc>
          <w:tcPr>
            <w:tcW w:w="1842" w:type="dxa"/>
            <w:tcBorders>
              <w:top w:val="nil"/>
              <w:left w:val="nil"/>
              <w:bottom w:val="single" w:sz="12" w:space="0" w:color="auto"/>
              <w:right w:val="nil"/>
            </w:tcBorders>
            <w:tcMar>
              <w:top w:w="160" w:type="dxa"/>
              <w:left w:w="240" w:type="dxa"/>
              <w:bottom w:w="160" w:type="dxa"/>
              <w:right w:w="240" w:type="dxa"/>
            </w:tcMar>
            <w:vAlign w:val="center"/>
          </w:tcPr>
          <w:p w14:paraId="5AB6FE01"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2/65 (3.1)</w:t>
            </w:r>
          </w:p>
        </w:tc>
        <w:tc>
          <w:tcPr>
            <w:tcW w:w="1723" w:type="dxa"/>
            <w:tcBorders>
              <w:top w:val="nil"/>
              <w:left w:val="nil"/>
              <w:bottom w:val="single" w:sz="12" w:space="0" w:color="auto"/>
              <w:right w:val="nil"/>
            </w:tcBorders>
            <w:tcMar>
              <w:top w:w="160" w:type="dxa"/>
              <w:left w:w="240" w:type="dxa"/>
              <w:bottom w:w="160" w:type="dxa"/>
              <w:right w:w="240" w:type="dxa"/>
            </w:tcMar>
            <w:vAlign w:val="center"/>
          </w:tcPr>
          <w:p w14:paraId="393B60E1"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187/236 (79.2)</w:t>
            </w:r>
          </w:p>
        </w:tc>
        <w:tc>
          <w:tcPr>
            <w:tcW w:w="1723" w:type="dxa"/>
            <w:tcBorders>
              <w:top w:val="nil"/>
              <w:left w:val="nil"/>
              <w:bottom w:val="single" w:sz="12" w:space="0" w:color="auto"/>
              <w:right w:val="nil"/>
            </w:tcBorders>
            <w:tcMar>
              <w:top w:w="160" w:type="dxa"/>
              <w:left w:w="240" w:type="dxa"/>
              <w:bottom w:w="160" w:type="dxa"/>
              <w:right w:w="240" w:type="dxa"/>
            </w:tcMar>
            <w:vAlign w:val="center"/>
          </w:tcPr>
          <w:p w14:paraId="36005C86"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189</w:t>
            </w:r>
          </w:p>
        </w:tc>
        <w:tc>
          <w:tcPr>
            <w:tcW w:w="1801" w:type="dxa"/>
            <w:tcBorders>
              <w:top w:val="nil"/>
              <w:left w:val="nil"/>
              <w:bottom w:val="single" w:sz="12" w:space="0" w:color="auto"/>
              <w:right w:val="nil"/>
            </w:tcBorders>
            <w:tcMar>
              <w:top w:w="160" w:type="dxa"/>
              <w:left w:w="240" w:type="dxa"/>
              <w:bottom w:w="160" w:type="dxa"/>
              <w:right w:w="240" w:type="dxa"/>
            </w:tcMar>
            <w:vAlign w:val="center"/>
          </w:tcPr>
          <w:p w14:paraId="46EA50C7"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2/189 (1.1)</w:t>
            </w:r>
          </w:p>
        </w:tc>
        <w:tc>
          <w:tcPr>
            <w:tcW w:w="1671" w:type="dxa"/>
            <w:tcBorders>
              <w:top w:val="nil"/>
              <w:left w:val="nil"/>
              <w:bottom w:val="single" w:sz="12" w:space="0" w:color="auto"/>
              <w:right w:val="nil"/>
            </w:tcBorders>
            <w:tcMar>
              <w:top w:w="-1" w:type="dxa"/>
              <w:left w:w="-1" w:type="dxa"/>
              <w:bottom w:w="-1" w:type="dxa"/>
              <w:right w:w="-1" w:type="dxa"/>
            </w:tcMar>
            <w:vAlign w:val="center"/>
          </w:tcPr>
          <w:p w14:paraId="2629C2CD" w14:textId="77777777" w:rsidR="0060754A" w:rsidRDefault="0060754A" w:rsidP="00C45ED6">
            <w:pPr>
              <w:pStyle w:val="NormalWeb"/>
              <w:widowControl/>
              <w:snapToGrid w:val="0"/>
              <w:spacing w:beforeAutospacing="0" w:afterAutospacing="0"/>
              <w:jc w:val="center"/>
              <w:rPr>
                <w:rFonts w:ascii="Times New Roman Regular" w:hAnsi="Times New Roman Regular" w:cs="Times New Roman Regular"/>
                <w:sz w:val="20"/>
                <w:szCs w:val="20"/>
              </w:rPr>
            </w:pPr>
            <w:r>
              <w:rPr>
                <w:rFonts w:ascii="Times New Roman Regular" w:hAnsi="Times New Roman Regular" w:cs="Times New Roman Regular"/>
                <w:sz w:val="20"/>
                <w:szCs w:val="20"/>
              </w:rPr>
              <w:t>250/301 (83.1)</w:t>
            </w:r>
          </w:p>
        </w:tc>
      </w:tr>
    </w:tbl>
    <w:p w14:paraId="7A572DD6" w14:textId="77777777" w:rsidR="0060754A" w:rsidRDefault="0060754A" w:rsidP="0060754A">
      <w:pPr>
        <w:rPr>
          <w:rFonts w:ascii="Times New Roman" w:eastAsia="SimSun" w:hAnsi="Times New Roman" w:cs="Times New Roman"/>
          <w:kern w:val="0"/>
          <w:sz w:val="20"/>
          <w:szCs w:val="20"/>
        </w:rPr>
      </w:pPr>
      <w:r>
        <w:rPr>
          <w:rFonts w:ascii="Times New Roman Bold" w:eastAsia="SimSun" w:hAnsi="Times New Roman Bold" w:cs="Times New Roman Bold"/>
          <w:b/>
          <w:bCs/>
          <w:kern w:val="0"/>
          <w:sz w:val="20"/>
          <w:szCs w:val="20"/>
        </w:rPr>
        <w:t>Footnote</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Percentages may not sum to 100% because of rounding. WD was treated as the positive condition. The WD cohort was fixed across all comparisons (n = 65), whereas the non-WD comparator group varied by severity stratum. Cp &lt;0.10 g/L was interpreted as a high-probability threshold supporting prioritization of WD, whereas Cp &gt;0.20 g/L was interpreted as a low-probability threshold supporting de-prioritization of WD rather than definitive exclusion. WD prevalence among patients meeting each threshold was calculated as the number of WD patients meeting that threshold divided by the total number of patients meeting that threshold. Correct classification was defined according to the corresponding binary threshold analysis. For Cp &lt;0.10 g/L, correctly classified patients were defined as WD patients with Cp &lt;0.10 g/L plus non-WD patients with Cp </w:t>
      </w:r>
      <w:r>
        <w:rPr>
          <w:rFonts w:ascii="Times New Roman" w:eastAsia="SimSun" w:hAnsi="Times New Roman" w:cs="Times New Roman" w:hint="eastAsia"/>
          <w:kern w:val="0"/>
          <w:sz w:val="20"/>
          <w:szCs w:val="20"/>
        </w:rPr>
        <w:t>≥</w:t>
      </w:r>
      <w:r>
        <w:rPr>
          <w:rFonts w:ascii="Times New Roman" w:eastAsia="SimSun" w:hAnsi="Times New Roman" w:cs="Times New Roman" w:hint="eastAsia"/>
          <w:kern w:val="0"/>
          <w:sz w:val="20"/>
          <w:szCs w:val="20"/>
        </w:rPr>
        <w:t xml:space="preserve">0.10 g/L. For Cp &gt;0.20 g/L, correctly classified patients were defined as non-WD patients with Cp &gt;0.20 g/L plus WD patients with Cp </w:t>
      </w:r>
      <w:r>
        <w:rPr>
          <w:rFonts w:ascii="Times New Roman" w:eastAsia="SimSun" w:hAnsi="Times New Roman" w:cs="Times New Roman" w:hint="eastAsia"/>
          <w:kern w:val="0"/>
          <w:sz w:val="20"/>
          <w:szCs w:val="20"/>
        </w:rPr>
        <w:t>≤</w:t>
      </w:r>
      <w:r>
        <w:rPr>
          <w:rFonts w:ascii="Times New Roman" w:eastAsia="SimSun" w:hAnsi="Times New Roman" w:cs="Times New Roman" w:hint="eastAsia"/>
          <w:kern w:val="0"/>
          <w:sz w:val="20"/>
          <w:szCs w:val="20"/>
        </w:rPr>
        <w:t xml:space="preserve">0.20 g/L. Patients outside a given threshold were not treated as unclassified; instead, they contributed to true-negative, false-negative, or false-positive counts according to the binary threshold being evaluated. Severe/coagulopathic non-WD was defined as INR </w:t>
      </w:r>
      <w:r>
        <w:rPr>
          <w:rFonts w:ascii="Times New Roman" w:eastAsia="SimSun" w:hAnsi="Times New Roman" w:cs="Times New Roman" w:hint="eastAsia"/>
          <w:kern w:val="0"/>
          <w:sz w:val="20"/>
          <w:szCs w:val="20"/>
        </w:rPr>
        <w:t>≥</w:t>
      </w:r>
      <w:r>
        <w:rPr>
          <w:rFonts w:ascii="Times New Roman" w:eastAsia="SimSun" w:hAnsi="Times New Roman" w:cs="Times New Roman" w:hint="eastAsia"/>
          <w:kern w:val="0"/>
          <w:sz w:val="20"/>
          <w:szCs w:val="20"/>
        </w:rPr>
        <w:t xml:space="preserve">1.5; jaundiced non-WD as INR &lt;1.5 with TBil </w:t>
      </w:r>
      <w:r>
        <w:rPr>
          <w:rFonts w:ascii="Times New Roman" w:eastAsia="SimSun" w:hAnsi="Times New Roman" w:cs="Times New Roman" w:hint="eastAsia"/>
          <w:kern w:val="0"/>
          <w:sz w:val="20"/>
          <w:szCs w:val="20"/>
        </w:rPr>
        <w:t>≥</w:t>
      </w:r>
      <w:r>
        <w:rPr>
          <w:rFonts w:ascii="Times New Roman" w:eastAsia="SimSun" w:hAnsi="Times New Roman" w:cs="Times New Roman" w:hint="eastAsia"/>
          <w:kern w:val="0"/>
          <w:sz w:val="20"/>
          <w:szCs w:val="20"/>
        </w:rPr>
        <w:t>5 mg/dL; and mild non-WD as INR &lt;1.5 with TBil &lt;5 mg/dL. Abbreviations: Cp, ceruloplasmin; INR, international normalized ratio; non-WD, non-Wilson disease</w:t>
      </w:r>
      <w:r>
        <w:rPr>
          <w:rFonts w:ascii="Times New Roman" w:eastAsia="SimSun" w:hAnsi="Times New Roman" w:cs="Times New Roman"/>
          <w:kern w:val="0"/>
          <w:sz w:val="20"/>
          <w:szCs w:val="20"/>
        </w:rPr>
        <w:t xml:space="preserve">; </w:t>
      </w:r>
      <w:r>
        <w:rPr>
          <w:rFonts w:ascii="Times New Roman" w:eastAsia="SimSun" w:hAnsi="Times New Roman" w:cs="Times New Roman" w:hint="eastAsia"/>
          <w:kern w:val="0"/>
          <w:sz w:val="20"/>
          <w:szCs w:val="20"/>
        </w:rPr>
        <w:t>TBil, total bilirubin; WD, Wilson disease.</w:t>
      </w:r>
    </w:p>
    <w:p w14:paraId="6EE1CB8F" w14:textId="77777777" w:rsidR="0067415F" w:rsidRDefault="0067415F"/>
    <w:sectPr w:rsidR="0067415F" w:rsidSect="00793C82">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auto"/>
    <w:pitch w:val="default"/>
    <w:sig w:usb0="E0000AFF" w:usb1="00007843" w:usb2="00000001" w:usb3="00000000" w:csb0="400001BF" w:csb1="DFF70000"/>
  </w:font>
  <w:font w:name="華康少女文字W5(P)">
    <w:altName w:val="Microsoft JhengHei"/>
    <w:charset w:val="88"/>
    <w:family w:val="auto"/>
    <w:pitch w:val="default"/>
    <w:sig w:usb0="800002E3" w:usb1="28CFFCFA" w:usb2="00000016" w:usb3="00000000" w:csb0="00100001" w:csb1="00000000"/>
  </w:font>
  <w:font w:name="Times New Roman Regular">
    <w:altName w:val="Times New Roman"/>
    <w:charset w:val="00"/>
    <w:family w:val="auto"/>
    <w:pitch w:val="default"/>
    <w:sig w:usb0="E0000AFF" w:usb1="00007843" w:usb2="00000001" w:usb3="00000000" w:csb0="400001BF" w:csb1="DFF70000"/>
  </w:font>
  <w:font w:name="SimSun">
    <w:altName w:val="??????????¨¬?????"/>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9D"/>
    <w:rsid w:val="004244E6"/>
    <w:rsid w:val="004A459D"/>
    <w:rsid w:val="0060754A"/>
    <w:rsid w:val="0067415F"/>
    <w:rsid w:val="00793C82"/>
    <w:rsid w:val="00CE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80476-4B3A-4B57-A1B0-863F6235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4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59D"/>
    <w:rPr>
      <w:rFonts w:eastAsiaTheme="majorEastAsia" w:cstheme="majorBidi"/>
      <w:color w:val="272727" w:themeColor="text1" w:themeTint="D8"/>
    </w:rPr>
  </w:style>
  <w:style w:type="paragraph" w:styleId="Title">
    <w:name w:val="Title"/>
    <w:basedOn w:val="Normal"/>
    <w:next w:val="Normal"/>
    <w:link w:val="TitleChar"/>
    <w:uiPriority w:val="10"/>
    <w:qFormat/>
    <w:rsid w:val="004A4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59D"/>
    <w:pPr>
      <w:spacing w:before="160"/>
      <w:jc w:val="center"/>
    </w:pPr>
    <w:rPr>
      <w:i/>
      <w:iCs/>
      <w:color w:val="404040" w:themeColor="text1" w:themeTint="BF"/>
    </w:rPr>
  </w:style>
  <w:style w:type="character" w:customStyle="1" w:styleId="QuoteChar">
    <w:name w:val="Quote Char"/>
    <w:basedOn w:val="DefaultParagraphFont"/>
    <w:link w:val="Quote"/>
    <w:uiPriority w:val="29"/>
    <w:rsid w:val="004A459D"/>
    <w:rPr>
      <w:i/>
      <w:iCs/>
      <w:color w:val="404040" w:themeColor="text1" w:themeTint="BF"/>
    </w:rPr>
  </w:style>
  <w:style w:type="paragraph" w:styleId="ListParagraph">
    <w:name w:val="List Paragraph"/>
    <w:basedOn w:val="Normal"/>
    <w:uiPriority w:val="34"/>
    <w:qFormat/>
    <w:rsid w:val="004A459D"/>
    <w:pPr>
      <w:ind w:left="720"/>
      <w:contextualSpacing/>
    </w:pPr>
  </w:style>
  <w:style w:type="character" w:styleId="IntenseEmphasis">
    <w:name w:val="Intense Emphasis"/>
    <w:basedOn w:val="DefaultParagraphFont"/>
    <w:uiPriority w:val="21"/>
    <w:qFormat/>
    <w:rsid w:val="004A459D"/>
    <w:rPr>
      <w:i/>
      <w:iCs/>
      <w:color w:val="2F5496" w:themeColor="accent1" w:themeShade="BF"/>
    </w:rPr>
  </w:style>
  <w:style w:type="paragraph" w:styleId="IntenseQuote">
    <w:name w:val="Intense Quote"/>
    <w:basedOn w:val="Normal"/>
    <w:next w:val="Normal"/>
    <w:link w:val="IntenseQuoteChar"/>
    <w:uiPriority w:val="30"/>
    <w:qFormat/>
    <w:rsid w:val="004A4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59D"/>
    <w:rPr>
      <w:i/>
      <w:iCs/>
      <w:color w:val="2F5496" w:themeColor="accent1" w:themeShade="BF"/>
    </w:rPr>
  </w:style>
  <w:style w:type="character" w:styleId="IntenseReference">
    <w:name w:val="Intense Reference"/>
    <w:basedOn w:val="DefaultParagraphFont"/>
    <w:uiPriority w:val="32"/>
    <w:qFormat/>
    <w:rsid w:val="004A459D"/>
    <w:rPr>
      <w:b/>
      <w:bCs/>
      <w:smallCaps/>
      <w:color w:val="2F5496" w:themeColor="accent1" w:themeShade="BF"/>
      <w:spacing w:val="5"/>
    </w:rPr>
  </w:style>
  <w:style w:type="paragraph" w:styleId="NormalWeb">
    <w:name w:val="Normal (Web)"/>
    <w:basedOn w:val="Normal"/>
    <w:qFormat/>
    <w:rsid w:val="0060754A"/>
    <w:pPr>
      <w:widowControl w:val="0"/>
      <w:spacing w:beforeAutospacing="1" w:after="0" w:afterAutospacing="1" w:line="240" w:lineRule="auto"/>
    </w:pPr>
    <w:rPr>
      <w:rFonts w:eastAsiaTheme="minorEastAsia" w:cs="Times New Roman"/>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3</cp:revision>
  <dcterms:created xsi:type="dcterms:W3CDTF">2026-06-18T01:22:00Z</dcterms:created>
  <dcterms:modified xsi:type="dcterms:W3CDTF">2026-06-18T01:22:00Z</dcterms:modified>
</cp:coreProperties>
</file>