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CB21" w14:textId="77777777" w:rsidR="00A5304E" w:rsidRDefault="00A5304E" w:rsidP="00A5304E">
      <w:pPr>
        <w:rPr>
          <w:rFonts w:ascii="Times New Roman Bold" w:eastAsia="華康少女文字W5(P)" w:hAnsi="Times New Roman Bold" w:cs="Times New Roman Bold"/>
          <w:b/>
          <w:kern w:val="0"/>
          <w:sz w:val="20"/>
          <w:szCs w:val="20"/>
        </w:rPr>
      </w:pPr>
      <w:r>
        <w:rPr>
          <w:rFonts w:ascii="Times New Roman Bold" w:eastAsia="華康少女文字W5(P)" w:hAnsi="Times New Roman Bold" w:cs="Times New Roman Bold"/>
          <w:b/>
          <w:kern w:val="0"/>
          <w:sz w:val="20"/>
          <w:szCs w:val="20"/>
        </w:rPr>
        <w:t>Supplementary Table S5. Diagnostic performance of Cp and 24-h UCE in referral subsets with higher urinary copper burden</w:t>
      </w:r>
    </w:p>
    <w:tbl>
      <w:tblPr>
        <w:tblStyle w:val="TableGrid"/>
        <w:tblW w:w="4996" w:type="pct"/>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612"/>
        <w:gridCol w:w="667"/>
        <w:gridCol w:w="808"/>
        <w:gridCol w:w="712"/>
        <w:gridCol w:w="1189"/>
        <w:gridCol w:w="1189"/>
        <w:gridCol w:w="723"/>
        <w:gridCol w:w="723"/>
        <w:gridCol w:w="940"/>
        <w:gridCol w:w="723"/>
        <w:gridCol w:w="1067"/>
      </w:tblGrid>
      <w:tr w:rsidR="00A5304E" w14:paraId="4670D503" w14:textId="77777777" w:rsidTr="00C45ED6">
        <w:trPr>
          <w:tblHeader/>
          <w:jc w:val="center"/>
        </w:trPr>
        <w:tc>
          <w:tcPr>
            <w:tcW w:w="349" w:type="pct"/>
            <w:tcBorders>
              <w:top w:val="single" w:sz="12" w:space="0" w:color="auto"/>
              <w:left w:val="nil"/>
              <w:bottom w:val="nil"/>
              <w:right w:val="nil"/>
            </w:tcBorders>
            <w:tcMar>
              <w:top w:w="-1" w:type="dxa"/>
              <w:left w:w="-1" w:type="dxa"/>
              <w:bottom w:w="-1" w:type="dxa"/>
              <w:right w:w="-1" w:type="dxa"/>
            </w:tcMar>
            <w:vAlign w:val="center"/>
          </w:tcPr>
          <w:p w14:paraId="572599D0" w14:textId="77777777" w:rsidR="00A5304E" w:rsidRDefault="00A5304E" w:rsidP="00C45ED6">
            <w:pPr>
              <w:widowControl/>
              <w:snapToGrid w:val="0"/>
              <w:jc w:val="center"/>
              <w:rPr>
                <w:rFonts w:ascii="Times New Roman Bold" w:hAnsi="Times New Roman Bold" w:cs="Times New Roman Bold"/>
                <w:b/>
                <w:lang w:eastAsia="en-US"/>
              </w:rPr>
            </w:pPr>
            <w:r>
              <w:rPr>
                <w:rFonts w:ascii="Times New Roman Bold" w:hAnsi="Times New Roman Bold" w:cs="Times New Roman Bold"/>
                <w:b/>
                <w:lang w:bidi="ar"/>
              </w:rPr>
              <w:t>Cohort</w:t>
            </w:r>
          </w:p>
        </w:tc>
        <w:tc>
          <w:tcPr>
            <w:tcW w:w="336" w:type="pct"/>
            <w:tcBorders>
              <w:top w:val="single" w:sz="12" w:space="0" w:color="auto"/>
              <w:left w:val="nil"/>
              <w:bottom w:val="nil"/>
              <w:right w:val="nil"/>
            </w:tcBorders>
            <w:tcMar>
              <w:top w:w="-1" w:type="dxa"/>
              <w:left w:w="-1" w:type="dxa"/>
              <w:bottom w:w="-1" w:type="dxa"/>
              <w:right w:w="-1" w:type="dxa"/>
            </w:tcMar>
            <w:vAlign w:val="center"/>
          </w:tcPr>
          <w:p w14:paraId="588A9ED2" w14:textId="77777777" w:rsidR="00A5304E" w:rsidRDefault="00A5304E" w:rsidP="00C45ED6">
            <w:pPr>
              <w:widowControl/>
              <w:snapToGrid w:val="0"/>
              <w:jc w:val="center"/>
              <w:rPr>
                <w:rFonts w:ascii="Times New Roman Bold" w:hAnsi="Times New Roman Bold" w:cs="Times New Roman Bold"/>
                <w:b/>
                <w:lang w:eastAsia="en-US"/>
              </w:rPr>
            </w:pPr>
            <w:r>
              <w:rPr>
                <w:rFonts w:ascii="Times New Roman Bold" w:hAnsi="Times New Roman Bold" w:cs="Times New Roman Bold"/>
                <w:b/>
                <w:lang w:bidi="ar"/>
              </w:rPr>
              <w:t>Marker</w:t>
            </w:r>
          </w:p>
        </w:tc>
        <w:tc>
          <w:tcPr>
            <w:tcW w:w="516" w:type="pct"/>
            <w:tcBorders>
              <w:top w:val="single" w:sz="12" w:space="0" w:color="auto"/>
              <w:left w:val="nil"/>
              <w:bottom w:val="nil"/>
              <w:right w:val="nil"/>
            </w:tcBorders>
            <w:tcMar>
              <w:top w:w="-1" w:type="dxa"/>
              <w:left w:w="-1" w:type="dxa"/>
              <w:bottom w:w="-1" w:type="dxa"/>
              <w:right w:w="-1" w:type="dxa"/>
            </w:tcMar>
            <w:vAlign w:val="center"/>
          </w:tcPr>
          <w:p w14:paraId="58FBCB75" w14:textId="77777777" w:rsidR="00A5304E" w:rsidRDefault="00A5304E" w:rsidP="00C45ED6">
            <w:pPr>
              <w:widowControl/>
              <w:snapToGrid w:val="0"/>
              <w:jc w:val="center"/>
              <w:rPr>
                <w:rFonts w:ascii="Times New Roman Bold" w:hAnsi="Times New Roman Bold" w:cs="Times New Roman Bold"/>
                <w:b/>
                <w:lang w:bidi="ar"/>
              </w:rPr>
            </w:pPr>
            <w:r>
              <w:rPr>
                <w:rFonts w:ascii="Times New Roman Bold" w:hAnsi="Times New Roman Bold" w:cs="Times New Roman Bold"/>
                <w:b/>
                <w:lang w:bidi="ar"/>
              </w:rPr>
              <w:t xml:space="preserve">AUROC </w:t>
            </w:r>
          </w:p>
          <w:p w14:paraId="4EB93A4B" w14:textId="77777777" w:rsidR="00A5304E" w:rsidRDefault="00A5304E" w:rsidP="00C45ED6">
            <w:pPr>
              <w:widowControl/>
              <w:snapToGrid w:val="0"/>
              <w:jc w:val="center"/>
              <w:rPr>
                <w:rFonts w:ascii="Times New Roman Bold" w:hAnsi="Times New Roman Bold" w:cs="Times New Roman Bold"/>
                <w:b/>
                <w:lang w:eastAsia="en-US"/>
              </w:rPr>
            </w:pPr>
            <w:r>
              <w:rPr>
                <w:rFonts w:ascii="Times New Roman Bold" w:hAnsi="Times New Roman Bold" w:cs="Times New Roman Bold"/>
                <w:b/>
                <w:lang w:bidi="ar"/>
              </w:rPr>
              <w:t>(95% CI)</w:t>
            </w:r>
          </w:p>
        </w:tc>
        <w:tc>
          <w:tcPr>
            <w:tcW w:w="353" w:type="pct"/>
            <w:tcBorders>
              <w:top w:val="single" w:sz="12" w:space="0" w:color="auto"/>
              <w:left w:val="nil"/>
              <w:bottom w:val="nil"/>
              <w:right w:val="nil"/>
            </w:tcBorders>
            <w:tcMar>
              <w:top w:w="-1" w:type="dxa"/>
              <w:left w:w="-1" w:type="dxa"/>
              <w:bottom w:w="-1" w:type="dxa"/>
              <w:right w:w="-1" w:type="dxa"/>
            </w:tcMar>
            <w:vAlign w:val="center"/>
          </w:tcPr>
          <w:p w14:paraId="32FE3394" w14:textId="77777777" w:rsidR="00A5304E" w:rsidRDefault="00A5304E" w:rsidP="00C45ED6">
            <w:pPr>
              <w:widowControl/>
              <w:snapToGrid w:val="0"/>
              <w:jc w:val="center"/>
              <w:rPr>
                <w:rFonts w:ascii="Times New Roman Bold" w:hAnsi="Times New Roman Bold" w:cs="Times New Roman Bold"/>
                <w:b/>
                <w:lang w:eastAsia="en-US"/>
              </w:rPr>
            </w:pPr>
            <w:r>
              <w:rPr>
                <w:rFonts w:ascii="Times New Roman Bold" w:hAnsi="Times New Roman Bold" w:cs="Times New Roman Bold"/>
                <w:b/>
                <w:lang w:bidi="ar"/>
              </w:rPr>
              <w:t>Optimal cutoff</w:t>
            </w:r>
          </w:p>
        </w:tc>
        <w:tc>
          <w:tcPr>
            <w:tcW w:w="538" w:type="pct"/>
            <w:tcBorders>
              <w:top w:val="single" w:sz="12" w:space="0" w:color="auto"/>
              <w:left w:val="nil"/>
              <w:bottom w:val="nil"/>
              <w:right w:val="nil"/>
            </w:tcBorders>
            <w:tcMar>
              <w:top w:w="-1" w:type="dxa"/>
              <w:left w:w="-1" w:type="dxa"/>
              <w:bottom w:w="-1" w:type="dxa"/>
              <w:right w:w="-1" w:type="dxa"/>
            </w:tcMar>
            <w:vAlign w:val="center"/>
          </w:tcPr>
          <w:p w14:paraId="5D0D708F" w14:textId="77777777" w:rsidR="00A5304E" w:rsidRDefault="00A5304E" w:rsidP="00C45ED6">
            <w:pPr>
              <w:widowControl/>
              <w:snapToGrid w:val="0"/>
              <w:jc w:val="center"/>
              <w:rPr>
                <w:rFonts w:ascii="Times New Roman Bold" w:hAnsi="Times New Roman Bold" w:cs="Times New Roman Bold"/>
                <w:b/>
                <w:lang w:bidi="ar"/>
              </w:rPr>
            </w:pPr>
            <w:r>
              <w:rPr>
                <w:rFonts w:ascii="Times New Roman Bold" w:hAnsi="Times New Roman Bold" w:cs="Times New Roman Bold"/>
                <w:b/>
                <w:lang w:bidi="ar"/>
              </w:rPr>
              <w:t xml:space="preserve">Sensitivity, % </w:t>
            </w:r>
          </w:p>
          <w:p w14:paraId="67A3F5D7" w14:textId="77777777" w:rsidR="00A5304E" w:rsidRDefault="00A5304E" w:rsidP="00C45ED6">
            <w:pPr>
              <w:widowControl/>
              <w:snapToGrid w:val="0"/>
              <w:jc w:val="center"/>
              <w:rPr>
                <w:rFonts w:ascii="Times New Roman Bold" w:hAnsi="Times New Roman Bold" w:cs="Times New Roman Bold"/>
                <w:b/>
                <w:lang w:eastAsia="en-US"/>
              </w:rPr>
            </w:pPr>
            <w:r>
              <w:rPr>
                <w:rFonts w:ascii="Times New Roman Bold" w:hAnsi="Times New Roman Bold" w:cs="Times New Roman Bold"/>
                <w:b/>
                <w:lang w:bidi="ar"/>
              </w:rPr>
              <w:t>(95% CI)</w:t>
            </w:r>
          </w:p>
        </w:tc>
        <w:tc>
          <w:tcPr>
            <w:tcW w:w="538" w:type="pct"/>
            <w:tcBorders>
              <w:top w:val="single" w:sz="12" w:space="0" w:color="auto"/>
              <w:left w:val="nil"/>
              <w:bottom w:val="nil"/>
              <w:right w:val="nil"/>
            </w:tcBorders>
            <w:tcMar>
              <w:top w:w="-1" w:type="dxa"/>
              <w:left w:w="-1" w:type="dxa"/>
              <w:bottom w:w="-1" w:type="dxa"/>
              <w:right w:w="-1" w:type="dxa"/>
            </w:tcMar>
            <w:vAlign w:val="center"/>
          </w:tcPr>
          <w:p w14:paraId="181B156B" w14:textId="77777777" w:rsidR="00A5304E" w:rsidRDefault="00A5304E" w:rsidP="00C45ED6">
            <w:pPr>
              <w:widowControl/>
              <w:snapToGrid w:val="0"/>
              <w:jc w:val="center"/>
              <w:rPr>
                <w:rFonts w:ascii="Times New Roman Bold" w:hAnsi="Times New Roman Bold" w:cs="Times New Roman Bold"/>
                <w:b/>
                <w:lang w:bidi="ar"/>
              </w:rPr>
            </w:pPr>
            <w:r>
              <w:rPr>
                <w:rFonts w:ascii="Times New Roman Bold" w:hAnsi="Times New Roman Bold" w:cs="Times New Roman Bold"/>
                <w:b/>
                <w:lang w:bidi="ar"/>
              </w:rPr>
              <w:t xml:space="preserve">Specificity, % </w:t>
            </w:r>
          </w:p>
          <w:p w14:paraId="62117B51" w14:textId="77777777" w:rsidR="00A5304E" w:rsidRDefault="00A5304E" w:rsidP="00C45ED6">
            <w:pPr>
              <w:widowControl/>
              <w:snapToGrid w:val="0"/>
              <w:jc w:val="center"/>
              <w:rPr>
                <w:rFonts w:ascii="Times New Roman Bold" w:hAnsi="Times New Roman Bold" w:cs="Times New Roman Bold"/>
                <w:b/>
                <w:lang w:eastAsia="en-US"/>
              </w:rPr>
            </w:pPr>
            <w:r>
              <w:rPr>
                <w:rFonts w:ascii="Times New Roman Bold" w:hAnsi="Times New Roman Bold" w:cs="Times New Roman Bold"/>
                <w:b/>
                <w:lang w:bidi="ar"/>
              </w:rPr>
              <w:t>(95% CI)</w:t>
            </w:r>
          </w:p>
        </w:tc>
        <w:tc>
          <w:tcPr>
            <w:tcW w:w="439" w:type="pct"/>
            <w:tcBorders>
              <w:top w:val="single" w:sz="12" w:space="0" w:color="auto"/>
              <w:left w:val="nil"/>
              <w:bottom w:val="nil"/>
              <w:right w:val="nil"/>
            </w:tcBorders>
            <w:tcMar>
              <w:top w:w="-1" w:type="dxa"/>
              <w:left w:w="-1" w:type="dxa"/>
              <w:bottom w:w="-1" w:type="dxa"/>
              <w:right w:w="-1" w:type="dxa"/>
            </w:tcMar>
            <w:vAlign w:val="center"/>
          </w:tcPr>
          <w:p w14:paraId="53B4BD46" w14:textId="77777777" w:rsidR="00A5304E" w:rsidRDefault="00A5304E" w:rsidP="00C45ED6">
            <w:pPr>
              <w:widowControl/>
              <w:snapToGrid w:val="0"/>
              <w:jc w:val="center"/>
              <w:rPr>
                <w:rFonts w:ascii="Times New Roman Bold" w:hAnsi="Times New Roman Bold" w:cs="Times New Roman Bold"/>
                <w:b/>
                <w:lang w:bidi="ar"/>
              </w:rPr>
            </w:pPr>
            <w:r>
              <w:rPr>
                <w:rFonts w:ascii="Times New Roman Bold" w:hAnsi="Times New Roman Bold" w:cs="Times New Roman Bold"/>
                <w:b/>
                <w:lang w:bidi="ar"/>
              </w:rPr>
              <w:t xml:space="preserve">PPV, % </w:t>
            </w:r>
          </w:p>
          <w:p w14:paraId="57CE0104" w14:textId="77777777" w:rsidR="00A5304E" w:rsidRDefault="00A5304E" w:rsidP="00C45ED6">
            <w:pPr>
              <w:widowControl/>
              <w:snapToGrid w:val="0"/>
              <w:jc w:val="center"/>
              <w:rPr>
                <w:rFonts w:ascii="Times New Roman Bold" w:hAnsi="Times New Roman Bold" w:cs="Times New Roman Bold"/>
                <w:b/>
                <w:lang w:eastAsia="en-US"/>
              </w:rPr>
            </w:pPr>
            <w:r>
              <w:rPr>
                <w:rFonts w:ascii="Times New Roman Bold" w:hAnsi="Times New Roman Bold" w:cs="Times New Roman Bold"/>
                <w:b/>
                <w:lang w:bidi="ar"/>
              </w:rPr>
              <w:t>(95% CI)</w:t>
            </w:r>
          </w:p>
        </w:tc>
        <w:tc>
          <w:tcPr>
            <w:tcW w:w="439" w:type="pct"/>
            <w:tcBorders>
              <w:top w:val="single" w:sz="12" w:space="0" w:color="auto"/>
              <w:left w:val="nil"/>
              <w:bottom w:val="nil"/>
              <w:right w:val="nil"/>
            </w:tcBorders>
            <w:tcMar>
              <w:top w:w="-1" w:type="dxa"/>
              <w:left w:w="-1" w:type="dxa"/>
              <w:bottom w:w="-1" w:type="dxa"/>
              <w:right w:w="-1" w:type="dxa"/>
            </w:tcMar>
            <w:vAlign w:val="center"/>
          </w:tcPr>
          <w:p w14:paraId="1509E773" w14:textId="77777777" w:rsidR="00A5304E" w:rsidRDefault="00A5304E" w:rsidP="00C45ED6">
            <w:pPr>
              <w:widowControl/>
              <w:snapToGrid w:val="0"/>
              <w:jc w:val="center"/>
              <w:rPr>
                <w:rFonts w:ascii="Times New Roman Bold" w:hAnsi="Times New Roman Bold" w:cs="Times New Roman Bold"/>
                <w:b/>
                <w:lang w:bidi="ar"/>
              </w:rPr>
            </w:pPr>
            <w:r>
              <w:rPr>
                <w:rFonts w:ascii="Times New Roman Bold" w:hAnsi="Times New Roman Bold" w:cs="Times New Roman Bold"/>
                <w:b/>
                <w:lang w:bidi="ar"/>
              </w:rPr>
              <w:t xml:space="preserve">NPV, % </w:t>
            </w:r>
          </w:p>
          <w:p w14:paraId="3800D6F5" w14:textId="77777777" w:rsidR="00A5304E" w:rsidRDefault="00A5304E" w:rsidP="00C45ED6">
            <w:pPr>
              <w:widowControl/>
              <w:snapToGrid w:val="0"/>
              <w:jc w:val="center"/>
              <w:rPr>
                <w:rFonts w:ascii="Times New Roman Bold" w:hAnsi="Times New Roman Bold" w:cs="Times New Roman Bold"/>
                <w:b/>
                <w:lang w:eastAsia="en-US"/>
              </w:rPr>
            </w:pPr>
            <w:r>
              <w:rPr>
                <w:rFonts w:ascii="Times New Roman Bold" w:hAnsi="Times New Roman Bold" w:cs="Times New Roman Bold"/>
                <w:b/>
                <w:lang w:bidi="ar"/>
              </w:rPr>
              <w:t>(95% CI)</w:t>
            </w:r>
          </w:p>
        </w:tc>
        <w:tc>
          <w:tcPr>
            <w:tcW w:w="555" w:type="pct"/>
            <w:tcBorders>
              <w:top w:val="single" w:sz="12" w:space="0" w:color="auto"/>
              <w:left w:val="nil"/>
              <w:bottom w:val="nil"/>
              <w:right w:val="nil"/>
            </w:tcBorders>
            <w:tcMar>
              <w:top w:w="-1" w:type="dxa"/>
              <w:left w:w="-1" w:type="dxa"/>
              <w:bottom w:w="-1" w:type="dxa"/>
              <w:right w:w="-1" w:type="dxa"/>
            </w:tcMar>
            <w:vAlign w:val="center"/>
          </w:tcPr>
          <w:p w14:paraId="134346FA" w14:textId="77777777" w:rsidR="00A5304E" w:rsidRDefault="00A5304E" w:rsidP="00C45ED6">
            <w:pPr>
              <w:widowControl/>
              <w:snapToGrid w:val="0"/>
              <w:jc w:val="center"/>
              <w:rPr>
                <w:rFonts w:ascii="Times New Roman Bold" w:hAnsi="Times New Roman Bold" w:cs="Times New Roman Bold"/>
                <w:b/>
                <w:lang w:bidi="ar"/>
              </w:rPr>
            </w:pPr>
            <w:r>
              <w:rPr>
                <w:rFonts w:ascii="Times New Roman Bold" w:hAnsi="Times New Roman Bold" w:cs="Times New Roman Bold"/>
                <w:b/>
                <w:lang w:bidi="ar"/>
              </w:rPr>
              <w:t xml:space="preserve">PLR </w:t>
            </w:r>
          </w:p>
          <w:p w14:paraId="1706B3B9" w14:textId="77777777" w:rsidR="00A5304E" w:rsidRDefault="00A5304E" w:rsidP="00C45ED6">
            <w:pPr>
              <w:widowControl/>
              <w:snapToGrid w:val="0"/>
              <w:jc w:val="center"/>
              <w:rPr>
                <w:rFonts w:ascii="Times New Roman Bold" w:hAnsi="Times New Roman Bold" w:cs="Times New Roman Bold"/>
                <w:b/>
                <w:lang w:eastAsia="en-US"/>
              </w:rPr>
            </w:pPr>
            <w:r>
              <w:rPr>
                <w:rFonts w:ascii="Times New Roman Bold" w:hAnsi="Times New Roman Bold" w:cs="Times New Roman Bold"/>
                <w:b/>
                <w:lang w:bidi="ar"/>
              </w:rPr>
              <w:t>(95% CI)</w:t>
            </w:r>
          </w:p>
        </w:tc>
        <w:tc>
          <w:tcPr>
            <w:tcW w:w="439" w:type="pct"/>
            <w:tcBorders>
              <w:top w:val="single" w:sz="12" w:space="0" w:color="auto"/>
              <w:left w:val="nil"/>
              <w:bottom w:val="nil"/>
              <w:right w:val="nil"/>
            </w:tcBorders>
            <w:tcMar>
              <w:top w:w="-1" w:type="dxa"/>
              <w:left w:w="-1" w:type="dxa"/>
              <w:bottom w:w="-1" w:type="dxa"/>
              <w:right w:w="-1" w:type="dxa"/>
            </w:tcMar>
            <w:vAlign w:val="center"/>
          </w:tcPr>
          <w:p w14:paraId="77297DF2" w14:textId="77777777" w:rsidR="00A5304E" w:rsidRDefault="00A5304E" w:rsidP="00C45ED6">
            <w:pPr>
              <w:widowControl/>
              <w:snapToGrid w:val="0"/>
              <w:jc w:val="center"/>
              <w:rPr>
                <w:rFonts w:ascii="Times New Roman Bold" w:hAnsi="Times New Roman Bold" w:cs="Times New Roman Bold"/>
                <w:b/>
                <w:lang w:bidi="ar"/>
              </w:rPr>
            </w:pPr>
            <w:r>
              <w:rPr>
                <w:rFonts w:ascii="Times New Roman Bold" w:hAnsi="Times New Roman Bold" w:cs="Times New Roman Bold"/>
                <w:b/>
                <w:lang w:bidi="ar"/>
              </w:rPr>
              <w:t xml:space="preserve">NLR </w:t>
            </w:r>
          </w:p>
          <w:p w14:paraId="0DD1A088" w14:textId="77777777" w:rsidR="00A5304E" w:rsidRDefault="00A5304E" w:rsidP="00C45ED6">
            <w:pPr>
              <w:widowControl/>
              <w:snapToGrid w:val="0"/>
              <w:jc w:val="center"/>
              <w:rPr>
                <w:rFonts w:ascii="Times New Roman Bold" w:hAnsi="Times New Roman Bold" w:cs="Times New Roman Bold"/>
                <w:b/>
                <w:lang w:eastAsia="en-US"/>
              </w:rPr>
            </w:pPr>
            <w:r>
              <w:rPr>
                <w:rFonts w:ascii="Times New Roman Bold" w:hAnsi="Times New Roman Bold" w:cs="Times New Roman Bold"/>
                <w:b/>
                <w:lang w:bidi="ar"/>
              </w:rPr>
              <w:t>(95% CI)</w:t>
            </w:r>
          </w:p>
        </w:tc>
        <w:tc>
          <w:tcPr>
            <w:tcW w:w="491" w:type="pct"/>
            <w:tcBorders>
              <w:top w:val="single" w:sz="12" w:space="0" w:color="auto"/>
              <w:left w:val="nil"/>
              <w:bottom w:val="nil"/>
              <w:right w:val="nil"/>
            </w:tcBorders>
            <w:tcMar>
              <w:top w:w="-1" w:type="dxa"/>
              <w:left w:w="-1" w:type="dxa"/>
              <w:bottom w:w="-1" w:type="dxa"/>
              <w:right w:w="-1" w:type="dxa"/>
            </w:tcMar>
            <w:vAlign w:val="center"/>
          </w:tcPr>
          <w:p w14:paraId="3E083F5F" w14:textId="77777777" w:rsidR="00A5304E" w:rsidRDefault="00A5304E" w:rsidP="00C45ED6">
            <w:pPr>
              <w:widowControl/>
              <w:snapToGrid w:val="0"/>
              <w:jc w:val="center"/>
              <w:rPr>
                <w:rFonts w:ascii="Times New Roman Bold" w:hAnsi="Times New Roman Bold" w:cs="Times New Roman Bold"/>
                <w:b/>
                <w:lang w:bidi="ar"/>
              </w:rPr>
            </w:pPr>
            <w:r>
              <w:rPr>
                <w:rFonts w:ascii="Times New Roman Bold" w:hAnsi="Times New Roman Bold" w:cs="Times New Roman Bold"/>
                <w:b/>
                <w:lang w:bidi="ar"/>
              </w:rPr>
              <w:t xml:space="preserve">Diagnostic accuracy, % </w:t>
            </w:r>
          </w:p>
          <w:p w14:paraId="5D7401AB" w14:textId="77777777" w:rsidR="00A5304E" w:rsidRDefault="00A5304E" w:rsidP="00C45ED6">
            <w:pPr>
              <w:widowControl/>
              <w:snapToGrid w:val="0"/>
              <w:jc w:val="center"/>
              <w:rPr>
                <w:rFonts w:ascii="Times New Roman Bold" w:hAnsi="Times New Roman Bold" w:cs="Times New Roman Bold"/>
                <w:b/>
                <w:lang w:eastAsia="en-US"/>
              </w:rPr>
            </w:pPr>
            <w:r>
              <w:rPr>
                <w:rFonts w:ascii="Times New Roman Bold" w:hAnsi="Times New Roman Bold" w:cs="Times New Roman Bold"/>
                <w:b/>
                <w:lang w:bidi="ar"/>
              </w:rPr>
              <w:t>(95% CI)</w:t>
            </w:r>
          </w:p>
        </w:tc>
      </w:tr>
      <w:tr w:rsidR="00A5304E" w14:paraId="5F2D0E5C" w14:textId="77777777" w:rsidTr="00C45ED6">
        <w:trPr>
          <w:jc w:val="center"/>
        </w:trPr>
        <w:tc>
          <w:tcPr>
            <w:tcW w:w="349" w:type="pct"/>
            <w:vMerge w:val="restart"/>
            <w:tcBorders>
              <w:top w:val="single" w:sz="4" w:space="0" w:color="auto"/>
              <w:left w:val="nil"/>
              <w:right w:val="nil"/>
            </w:tcBorders>
            <w:tcMar>
              <w:top w:w="-1" w:type="dxa"/>
              <w:left w:w="-1" w:type="dxa"/>
              <w:bottom w:w="-1" w:type="dxa"/>
              <w:right w:w="-1" w:type="dxa"/>
            </w:tcMar>
            <w:vAlign w:val="center"/>
          </w:tcPr>
          <w:p w14:paraId="71A8B066" w14:textId="77777777" w:rsidR="00A5304E" w:rsidRDefault="00A5304E" w:rsidP="00C45ED6">
            <w:pPr>
              <w:widowControl/>
              <w:snapToGrid w:val="0"/>
              <w:jc w:val="center"/>
              <w:rPr>
                <w:rFonts w:ascii="Times New Roman Regular" w:hAnsi="Times New Roman Regular" w:cs="Times New Roman Regular"/>
                <w:lang w:eastAsia="en-US"/>
              </w:rPr>
            </w:pPr>
            <w:r>
              <w:rPr>
                <w:rFonts w:ascii="Times New Roman Regular" w:hAnsi="Times New Roman Regular" w:cs="Times New Roman Regular"/>
                <w:lang w:bidi="ar"/>
              </w:rPr>
              <w:t>24-h</w:t>
            </w:r>
            <w:r>
              <w:rPr>
                <w:rFonts w:ascii="Times New Roman Regular" w:hAnsi="Times New Roman Regular" w:cs="Times New Roman Regular" w:hint="eastAsia"/>
                <w:lang w:bidi="ar"/>
              </w:rPr>
              <w:t xml:space="preserve"> </w:t>
            </w:r>
            <w:r>
              <w:rPr>
                <w:rFonts w:ascii="Times New Roman Regular" w:hAnsi="Times New Roman Regular" w:cs="Times New Roman Regular"/>
                <w:lang w:bidi="ar"/>
              </w:rPr>
              <w:t>UCE ≥100 μg/24 h (WD n=52; non-WD n=216)</w:t>
            </w:r>
          </w:p>
        </w:tc>
        <w:tc>
          <w:tcPr>
            <w:tcW w:w="336" w:type="pct"/>
            <w:tcBorders>
              <w:top w:val="single" w:sz="4" w:space="0" w:color="auto"/>
              <w:left w:val="nil"/>
              <w:bottom w:val="nil"/>
              <w:right w:val="nil"/>
            </w:tcBorders>
            <w:tcMar>
              <w:top w:w="-1" w:type="dxa"/>
              <w:left w:w="-1" w:type="dxa"/>
              <w:bottom w:w="-1" w:type="dxa"/>
              <w:right w:w="-1" w:type="dxa"/>
            </w:tcMar>
            <w:vAlign w:val="center"/>
          </w:tcPr>
          <w:p w14:paraId="6F8430DD" w14:textId="77777777" w:rsidR="00A5304E" w:rsidRDefault="00A5304E" w:rsidP="00C45ED6">
            <w:pPr>
              <w:widowControl/>
              <w:snapToGrid w:val="0"/>
              <w:jc w:val="left"/>
              <w:rPr>
                <w:rFonts w:ascii="Times New Roman Regular" w:hAnsi="Times New Roman Regular" w:cs="Times New Roman Regular"/>
                <w:lang w:eastAsia="en-US"/>
              </w:rPr>
            </w:pPr>
            <w:r>
              <w:rPr>
                <w:rFonts w:ascii="Times New Roman Regular" w:hAnsi="Times New Roman Regular" w:cs="Times New Roman Regular"/>
                <w:lang w:bidi="ar"/>
              </w:rPr>
              <w:t>24-h UCE, μg/24 h</w:t>
            </w:r>
          </w:p>
        </w:tc>
        <w:tc>
          <w:tcPr>
            <w:tcW w:w="516" w:type="pct"/>
            <w:tcBorders>
              <w:top w:val="single" w:sz="4" w:space="0" w:color="auto"/>
              <w:left w:val="nil"/>
              <w:bottom w:val="nil"/>
              <w:right w:val="nil"/>
            </w:tcBorders>
            <w:tcMar>
              <w:top w:w="-1" w:type="dxa"/>
              <w:left w:w="-1" w:type="dxa"/>
              <w:bottom w:w="-1" w:type="dxa"/>
              <w:right w:w="-1" w:type="dxa"/>
            </w:tcMar>
            <w:vAlign w:val="center"/>
          </w:tcPr>
          <w:p w14:paraId="3D537935" w14:textId="77777777" w:rsidR="00A5304E" w:rsidRDefault="00A5304E" w:rsidP="00C45ED6">
            <w:pPr>
              <w:widowControl/>
              <w:snapToGrid w:val="0"/>
              <w:jc w:val="left"/>
              <w:rPr>
                <w:rFonts w:ascii="Times New Roman Regular" w:hAnsi="Times New Roman Regular" w:cs="Times New Roman Regular"/>
                <w:lang w:eastAsia="en-US"/>
              </w:rPr>
            </w:pPr>
            <w:r>
              <w:rPr>
                <w:rFonts w:ascii="Times New Roman Regular" w:hAnsi="Times New Roman Regular" w:cs="Times New Roman Regular"/>
                <w:lang w:bidi="ar"/>
              </w:rPr>
              <w:t>0.710 (0.624-0.795)</w:t>
            </w:r>
          </w:p>
        </w:tc>
        <w:tc>
          <w:tcPr>
            <w:tcW w:w="353" w:type="pct"/>
            <w:tcBorders>
              <w:top w:val="single" w:sz="4" w:space="0" w:color="auto"/>
              <w:left w:val="nil"/>
              <w:bottom w:val="nil"/>
              <w:right w:val="nil"/>
            </w:tcBorders>
            <w:tcMar>
              <w:top w:w="-1" w:type="dxa"/>
              <w:left w:w="-1" w:type="dxa"/>
              <w:bottom w:w="-1" w:type="dxa"/>
              <w:right w:w="-1" w:type="dxa"/>
            </w:tcMar>
            <w:vAlign w:val="center"/>
          </w:tcPr>
          <w:p w14:paraId="465DC7E3"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262.2</w:t>
            </w:r>
          </w:p>
        </w:tc>
        <w:tc>
          <w:tcPr>
            <w:tcW w:w="538" w:type="pct"/>
            <w:tcBorders>
              <w:top w:val="single" w:sz="4" w:space="0" w:color="auto"/>
              <w:left w:val="nil"/>
              <w:bottom w:val="nil"/>
              <w:right w:val="nil"/>
            </w:tcBorders>
            <w:tcMar>
              <w:top w:w="-1" w:type="dxa"/>
              <w:left w:w="-1" w:type="dxa"/>
              <w:bottom w:w="-1" w:type="dxa"/>
              <w:right w:w="-1" w:type="dxa"/>
            </w:tcMar>
            <w:vAlign w:val="center"/>
          </w:tcPr>
          <w:p w14:paraId="16CA1CF2" w14:textId="77777777" w:rsidR="00A5304E" w:rsidRDefault="00A5304E" w:rsidP="00C45ED6">
            <w:pPr>
              <w:widowControl/>
              <w:snapToGrid w:val="0"/>
              <w:jc w:val="center"/>
              <w:rPr>
                <w:rFonts w:ascii="Times New Roman Regular" w:hAnsi="Times New Roman Regular" w:cs="Times New Roman Regular"/>
                <w:lang w:eastAsia="en-US"/>
              </w:rPr>
            </w:pPr>
            <w:r>
              <w:rPr>
                <w:rFonts w:ascii="Times New Roman Regular" w:hAnsi="Times New Roman Regular" w:cs="Times New Roman Regular"/>
                <w:lang w:bidi="ar"/>
              </w:rPr>
              <w:t>57.7 (43.2-71.3)</w:t>
            </w:r>
          </w:p>
        </w:tc>
        <w:tc>
          <w:tcPr>
            <w:tcW w:w="538" w:type="pct"/>
            <w:tcBorders>
              <w:top w:val="single" w:sz="4" w:space="0" w:color="auto"/>
              <w:left w:val="nil"/>
              <w:bottom w:val="nil"/>
              <w:right w:val="nil"/>
            </w:tcBorders>
            <w:tcMar>
              <w:top w:w="-1" w:type="dxa"/>
              <w:left w:w="-1" w:type="dxa"/>
              <w:bottom w:w="-1" w:type="dxa"/>
              <w:right w:w="-1" w:type="dxa"/>
            </w:tcMar>
            <w:vAlign w:val="center"/>
          </w:tcPr>
          <w:p w14:paraId="62C51C58" w14:textId="77777777" w:rsidR="00A5304E" w:rsidRDefault="00A5304E" w:rsidP="00C45ED6">
            <w:pPr>
              <w:widowControl/>
              <w:snapToGrid w:val="0"/>
              <w:jc w:val="center"/>
              <w:rPr>
                <w:rFonts w:ascii="Times New Roman Regular" w:hAnsi="Times New Roman Regular" w:cs="Times New Roman Regular"/>
                <w:lang w:eastAsia="en-US"/>
              </w:rPr>
            </w:pPr>
            <w:r>
              <w:rPr>
                <w:rFonts w:ascii="Times New Roman Regular" w:hAnsi="Times New Roman Regular" w:cs="Times New Roman Regular"/>
                <w:lang w:bidi="ar"/>
              </w:rPr>
              <w:t>83.8 (78.2-88.4)</w:t>
            </w:r>
          </w:p>
        </w:tc>
        <w:tc>
          <w:tcPr>
            <w:tcW w:w="439" w:type="pct"/>
            <w:tcBorders>
              <w:top w:val="single" w:sz="4" w:space="0" w:color="auto"/>
              <w:left w:val="nil"/>
              <w:bottom w:val="nil"/>
              <w:right w:val="nil"/>
            </w:tcBorders>
            <w:tcMar>
              <w:top w:w="-1" w:type="dxa"/>
              <w:left w:w="-1" w:type="dxa"/>
              <w:bottom w:w="-1" w:type="dxa"/>
              <w:right w:w="-1" w:type="dxa"/>
            </w:tcMar>
            <w:vAlign w:val="center"/>
          </w:tcPr>
          <w:p w14:paraId="3EDD5128"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46.2 (33.7-59.0)</w:t>
            </w:r>
          </w:p>
        </w:tc>
        <w:tc>
          <w:tcPr>
            <w:tcW w:w="439" w:type="pct"/>
            <w:tcBorders>
              <w:top w:val="single" w:sz="4" w:space="0" w:color="auto"/>
              <w:left w:val="nil"/>
              <w:bottom w:val="nil"/>
              <w:right w:val="nil"/>
            </w:tcBorders>
            <w:tcMar>
              <w:top w:w="-1" w:type="dxa"/>
              <w:left w:w="-1" w:type="dxa"/>
              <w:bottom w:w="-1" w:type="dxa"/>
              <w:right w:w="-1" w:type="dxa"/>
            </w:tcMar>
            <w:vAlign w:val="center"/>
          </w:tcPr>
          <w:p w14:paraId="4B7F48AB"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89.2 (84.1-93.1)</w:t>
            </w:r>
          </w:p>
        </w:tc>
        <w:tc>
          <w:tcPr>
            <w:tcW w:w="555" w:type="pct"/>
            <w:tcBorders>
              <w:top w:val="single" w:sz="4" w:space="0" w:color="auto"/>
              <w:left w:val="nil"/>
              <w:bottom w:val="nil"/>
              <w:right w:val="nil"/>
            </w:tcBorders>
            <w:tcMar>
              <w:top w:w="-1" w:type="dxa"/>
              <w:left w:w="-1" w:type="dxa"/>
              <w:bottom w:w="-1" w:type="dxa"/>
              <w:right w:w="-1" w:type="dxa"/>
            </w:tcMar>
            <w:vAlign w:val="center"/>
          </w:tcPr>
          <w:p w14:paraId="6D13997E"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3.56 (2.43-5.22)</w:t>
            </w:r>
          </w:p>
        </w:tc>
        <w:tc>
          <w:tcPr>
            <w:tcW w:w="439" w:type="pct"/>
            <w:tcBorders>
              <w:top w:val="single" w:sz="4" w:space="0" w:color="auto"/>
              <w:left w:val="nil"/>
              <w:bottom w:val="nil"/>
              <w:right w:val="nil"/>
            </w:tcBorders>
            <w:tcMar>
              <w:top w:w="-1" w:type="dxa"/>
              <w:left w:w="-1" w:type="dxa"/>
              <w:bottom w:w="-1" w:type="dxa"/>
              <w:right w:w="-1" w:type="dxa"/>
            </w:tcMar>
            <w:vAlign w:val="center"/>
          </w:tcPr>
          <w:p w14:paraId="23F45AA8"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0.50 (0.37-0.70)</w:t>
            </w:r>
          </w:p>
        </w:tc>
        <w:tc>
          <w:tcPr>
            <w:tcW w:w="491" w:type="pct"/>
            <w:tcBorders>
              <w:top w:val="single" w:sz="4" w:space="0" w:color="auto"/>
              <w:left w:val="nil"/>
              <w:bottom w:val="nil"/>
              <w:right w:val="nil"/>
            </w:tcBorders>
            <w:tcMar>
              <w:top w:w="-1" w:type="dxa"/>
              <w:left w:w="-1" w:type="dxa"/>
              <w:bottom w:w="-1" w:type="dxa"/>
              <w:right w:w="-1" w:type="dxa"/>
            </w:tcMar>
            <w:vAlign w:val="center"/>
          </w:tcPr>
          <w:p w14:paraId="70469773"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78.7 (73.3-83.5)</w:t>
            </w:r>
          </w:p>
        </w:tc>
      </w:tr>
      <w:tr w:rsidR="00A5304E" w14:paraId="30BA40B8" w14:textId="77777777" w:rsidTr="00C45ED6">
        <w:trPr>
          <w:jc w:val="center"/>
        </w:trPr>
        <w:tc>
          <w:tcPr>
            <w:tcW w:w="349" w:type="pct"/>
            <w:vMerge/>
            <w:tcBorders>
              <w:left w:val="nil"/>
              <w:bottom w:val="nil"/>
              <w:right w:val="nil"/>
            </w:tcBorders>
            <w:tcMar>
              <w:top w:w="-1" w:type="dxa"/>
              <w:left w:w="-1" w:type="dxa"/>
              <w:bottom w:w="-1" w:type="dxa"/>
              <w:right w:w="-1" w:type="dxa"/>
            </w:tcMar>
            <w:vAlign w:val="center"/>
          </w:tcPr>
          <w:p w14:paraId="5E8CDBBA" w14:textId="77777777" w:rsidR="00A5304E" w:rsidRDefault="00A5304E" w:rsidP="00C45ED6">
            <w:pPr>
              <w:widowControl/>
              <w:snapToGrid w:val="0"/>
              <w:jc w:val="center"/>
              <w:rPr>
                <w:rFonts w:ascii="Times New Roman Regular" w:hAnsi="Times New Roman Regular" w:cs="Times New Roman Regular"/>
                <w:lang w:eastAsia="en-US"/>
              </w:rPr>
            </w:pPr>
          </w:p>
        </w:tc>
        <w:tc>
          <w:tcPr>
            <w:tcW w:w="336" w:type="pct"/>
            <w:tcBorders>
              <w:top w:val="nil"/>
              <w:left w:val="nil"/>
              <w:bottom w:val="nil"/>
              <w:right w:val="nil"/>
            </w:tcBorders>
            <w:tcMar>
              <w:top w:w="-1" w:type="dxa"/>
              <w:left w:w="-1" w:type="dxa"/>
              <w:bottom w:w="-1" w:type="dxa"/>
              <w:right w:w="-1" w:type="dxa"/>
            </w:tcMar>
            <w:vAlign w:val="center"/>
          </w:tcPr>
          <w:p w14:paraId="5CD65585" w14:textId="77777777" w:rsidR="00A5304E" w:rsidRDefault="00A5304E" w:rsidP="00C45ED6">
            <w:pPr>
              <w:widowControl/>
              <w:snapToGrid w:val="0"/>
              <w:jc w:val="left"/>
              <w:rPr>
                <w:rFonts w:ascii="Times New Roman Regular" w:hAnsi="Times New Roman Regular" w:cs="Times New Roman Regular"/>
                <w:lang w:eastAsia="en-US"/>
              </w:rPr>
            </w:pPr>
            <w:r>
              <w:rPr>
                <w:rFonts w:ascii="Times New Roman Regular" w:hAnsi="Times New Roman Regular" w:cs="Times New Roman Regular"/>
                <w:lang w:bidi="ar"/>
              </w:rPr>
              <w:t>Cp, g/L</w:t>
            </w:r>
          </w:p>
        </w:tc>
        <w:tc>
          <w:tcPr>
            <w:tcW w:w="516" w:type="pct"/>
            <w:tcBorders>
              <w:top w:val="nil"/>
              <w:left w:val="nil"/>
              <w:bottom w:val="nil"/>
              <w:right w:val="nil"/>
            </w:tcBorders>
            <w:tcMar>
              <w:top w:w="-1" w:type="dxa"/>
              <w:left w:w="-1" w:type="dxa"/>
              <w:bottom w:w="-1" w:type="dxa"/>
              <w:right w:w="-1" w:type="dxa"/>
            </w:tcMar>
            <w:vAlign w:val="center"/>
          </w:tcPr>
          <w:p w14:paraId="259BBF30" w14:textId="77777777" w:rsidR="00A5304E" w:rsidRDefault="00A5304E" w:rsidP="00C45ED6">
            <w:pPr>
              <w:widowControl/>
              <w:snapToGrid w:val="0"/>
              <w:jc w:val="left"/>
              <w:rPr>
                <w:rFonts w:ascii="Times New Roman Regular" w:hAnsi="Times New Roman Regular" w:cs="Times New Roman Regular"/>
                <w:lang w:eastAsia="en-US"/>
              </w:rPr>
            </w:pPr>
            <w:r>
              <w:rPr>
                <w:rFonts w:ascii="Times New Roman Regular" w:hAnsi="Times New Roman Regular" w:cs="Times New Roman Regular"/>
                <w:lang w:bidi="ar"/>
              </w:rPr>
              <w:t>0.987 (0.972-0.997)</w:t>
            </w:r>
          </w:p>
        </w:tc>
        <w:tc>
          <w:tcPr>
            <w:tcW w:w="353" w:type="pct"/>
            <w:tcBorders>
              <w:top w:val="nil"/>
              <w:left w:val="nil"/>
              <w:bottom w:val="nil"/>
              <w:right w:val="nil"/>
            </w:tcBorders>
            <w:tcMar>
              <w:top w:w="-1" w:type="dxa"/>
              <w:left w:w="-1" w:type="dxa"/>
              <w:bottom w:w="-1" w:type="dxa"/>
              <w:right w:w="-1" w:type="dxa"/>
            </w:tcMar>
            <w:vAlign w:val="center"/>
          </w:tcPr>
          <w:p w14:paraId="63024F2E"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0.15</w:t>
            </w:r>
          </w:p>
        </w:tc>
        <w:tc>
          <w:tcPr>
            <w:tcW w:w="538" w:type="pct"/>
            <w:tcBorders>
              <w:top w:val="nil"/>
              <w:left w:val="nil"/>
              <w:bottom w:val="nil"/>
              <w:right w:val="nil"/>
            </w:tcBorders>
            <w:tcMar>
              <w:top w:w="-1" w:type="dxa"/>
              <w:left w:w="-1" w:type="dxa"/>
              <w:bottom w:w="-1" w:type="dxa"/>
              <w:right w:w="-1" w:type="dxa"/>
            </w:tcMar>
            <w:vAlign w:val="center"/>
          </w:tcPr>
          <w:p w14:paraId="6AA48122" w14:textId="77777777" w:rsidR="00A5304E" w:rsidRDefault="00A5304E" w:rsidP="00C45ED6">
            <w:pPr>
              <w:widowControl/>
              <w:snapToGrid w:val="0"/>
              <w:jc w:val="center"/>
              <w:rPr>
                <w:rFonts w:ascii="Times New Roman Regular" w:hAnsi="Times New Roman Regular" w:cs="Times New Roman Regular"/>
                <w:lang w:eastAsia="en-US"/>
              </w:rPr>
            </w:pPr>
            <w:r>
              <w:rPr>
                <w:rFonts w:ascii="Times New Roman Regular" w:hAnsi="Times New Roman Regular" w:cs="Times New Roman Regular"/>
                <w:lang w:bidi="ar"/>
              </w:rPr>
              <w:t>88.5 (76.6-95.6)</w:t>
            </w:r>
          </w:p>
        </w:tc>
        <w:tc>
          <w:tcPr>
            <w:tcW w:w="538" w:type="pct"/>
            <w:tcBorders>
              <w:top w:val="nil"/>
              <w:left w:val="nil"/>
              <w:bottom w:val="nil"/>
              <w:right w:val="nil"/>
            </w:tcBorders>
            <w:tcMar>
              <w:top w:w="-1" w:type="dxa"/>
              <w:left w:w="-1" w:type="dxa"/>
              <w:bottom w:w="-1" w:type="dxa"/>
              <w:right w:w="-1" w:type="dxa"/>
            </w:tcMar>
            <w:vAlign w:val="center"/>
          </w:tcPr>
          <w:p w14:paraId="43FAE4FF" w14:textId="77777777" w:rsidR="00A5304E" w:rsidRDefault="00A5304E" w:rsidP="00C45ED6">
            <w:pPr>
              <w:widowControl/>
              <w:snapToGrid w:val="0"/>
              <w:jc w:val="center"/>
              <w:rPr>
                <w:rFonts w:ascii="Times New Roman Regular" w:hAnsi="Times New Roman Regular" w:cs="Times New Roman Regular"/>
                <w:lang w:eastAsia="en-US"/>
              </w:rPr>
            </w:pPr>
            <w:r>
              <w:rPr>
                <w:rFonts w:ascii="Times New Roman Regular" w:hAnsi="Times New Roman Regular" w:cs="Times New Roman Regular"/>
                <w:lang w:bidi="ar"/>
              </w:rPr>
              <w:t>98.6 (96.0-99.7)</w:t>
            </w:r>
          </w:p>
        </w:tc>
        <w:tc>
          <w:tcPr>
            <w:tcW w:w="439" w:type="pct"/>
            <w:tcBorders>
              <w:top w:val="nil"/>
              <w:left w:val="nil"/>
              <w:bottom w:val="nil"/>
              <w:right w:val="nil"/>
            </w:tcBorders>
            <w:tcMar>
              <w:top w:w="-1" w:type="dxa"/>
              <w:left w:w="-1" w:type="dxa"/>
              <w:bottom w:w="-1" w:type="dxa"/>
              <w:right w:w="-1" w:type="dxa"/>
            </w:tcMar>
            <w:vAlign w:val="center"/>
          </w:tcPr>
          <w:p w14:paraId="0B2FD6D8"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93.9 (83.1-98.7)</w:t>
            </w:r>
          </w:p>
        </w:tc>
        <w:tc>
          <w:tcPr>
            <w:tcW w:w="439" w:type="pct"/>
            <w:tcBorders>
              <w:top w:val="nil"/>
              <w:left w:val="nil"/>
              <w:bottom w:val="nil"/>
              <w:right w:val="nil"/>
            </w:tcBorders>
            <w:tcMar>
              <w:top w:w="-1" w:type="dxa"/>
              <w:left w:w="-1" w:type="dxa"/>
              <w:bottom w:w="-1" w:type="dxa"/>
              <w:right w:w="-1" w:type="dxa"/>
            </w:tcMar>
            <w:vAlign w:val="center"/>
          </w:tcPr>
          <w:p w14:paraId="4551C588"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97.3 (94.1-99.0)</w:t>
            </w:r>
          </w:p>
        </w:tc>
        <w:tc>
          <w:tcPr>
            <w:tcW w:w="555" w:type="pct"/>
            <w:tcBorders>
              <w:top w:val="nil"/>
              <w:left w:val="nil"/>
              <w:bottom w:val="nil"/>
              <w:right w:val="nil"/>
            </w:tcBorders>
            <w:tcMar>
              <w:top w:w="-1" w:type="dxa"/>
              <w:left w:w="-1" w:type="dxa"/>
              <w:bottom w:w="-1" w:type="dxa"/>
              <w:right w:w="-1" w:type="dxa"/>
            </w:tcMar>
            <w:vAlign w:val="center"/>
          </w:tcPr>
          <w:p w14:paraId="6D13BA8F"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63.69 (20.62-196.78)</w:t>
            </w:r>
          </w:p>
        </w:tc>
        <w:tc>
          <w:tcPr>
            <w:tcW w:w="439" w:type="pct"/>
            <w:tcBorders>
              <w:top w:val="nil"/>
              <w:left w:val="nil"/>
              <w:bottom w:val="nil"/>
              <w:right w:val="nil"/>
            </w:tcBorders>
            <w:tcMar>
              <w:top w:w="-1" w:type="dxa"/>
              <w:left w:w="-1" w:type="dxa"/>
              <w:bottom w:w="-1" w:type="dxa"/>
              <w:right w:w="-1" w:type="dxa"/>
            </w:tcMar>
            <w:vAlign w:val="center"/>
          </w:tcPr>
          <w:p w14:paraId="28E8FD15"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0.12 (0.06-0.25)</w:t>
            </w:r>
          </w:p>
        </w:tc>
        <w:tc>
          <w:tcPr>
            <w:tcW w:w="491" w:type="pct"/>
            <w:tcBorders>
              <w:top w:val="nil"/>
              <w:left w:val="nil"/>
              <w:bottom w:val="nil"/>
              <w:right w:val="nil"/>
            </w:tcBorders>
            <w:tcMar>
              <w:top w:w="-1" w:type="dxa"/>
              <w:left w:w="-1" w:type="dxa"/>
              <w:bottom w:w="-1" w:type="dxa"/>
              <w:right w:w="-1" w:type="dxa"/>
            </w:tcMar>
            <w:vAlign w:val="center"/>
          </w:tcPr>
          <w:p w14:paraId="0D41CF4C"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96.6 (93.7-98.5)</w:t>
            </w:r>
          </w:p>
        </w:tc>
      </w:tr>
      <w:tr w:rsidR="00A5304E" w14:paraId="5ADD1313" w14:textId="77777777" w:rsidTr="00C45ED6">
        <w:trPr>
          <w:jc w:val="center"/>
        </w:trPr>
        <w:tc>
          <w:tcPr>
            <w:tcW w:w="349" w:type="pct"/>
            <w:vMerge w:val="restart"/>
            <w:tcBorders>
              <w:top w:val="nil"/>
              <w:left w:val="nil"/>
              <w:right w:val="nil"/>
            </w:tcBorders>
            <w:tcMar>
              <w:top w:w="-1" w:type="dxa"/>
              <w:left w:w="-1" w:type="dxa"/>
              <w:bottom w:w="-1" w:type="dxa"/>
              <w:right w:w="-1" w:type="dxa"/>
            </w:tcMar>
            <w:vAlign w:val="center"/>
          </w:tcPr>
          <w:p w14:paraId="7451AFD4" w14:textId="77777777" w:rsidR="00A5304E" w:rsidRDefault="00A5304E" w:rsidP="00C45ED6">
            <w:pPr>
              <w:widowControl/>
              <w:snapToGrid w:val="0"/>
              <w:jc w:val="center"/>
              <w:rPr>
                <w:rFonts w:ascii="Times New Roman Regular" w:hAnsi="Times New Roman Regular" w:cs="Times New Roman Regular"/>
                <w:lang w:eastAsia="en-US"/>
              </w:rPr>
            </w:pPr>
            <w:r>
              <w:rPr>
                <w:rFonts w:ascii="Times New Roman Regular" w:hAnsi="Times New Roman Regular" w:cs="Times New Roman Regular"/>
                <w:lang w:bidi="ar"/>
              </w:rPr>
              <w:t>24-h UCE ≥200 μg/24 h (WD n=33; non-WD n=70)</w:t>
            </w:r>
          </w:p>
        </w:tc>
        <w:tc>
          <w:tcPr>
            <w:tcW w:w="336" w:type="pct"/>
            <w:tcBorders>
              <w:top w:val="nil"/>
              <w:left w:val="nil"/>
              <w:bottom w:val="nil"/>
              <w:right w:val="nil"/>
            </w:tcBorders>
            <w:tcMar>
              <w:top w:w="-1" w:type="dxa"/>
              <w:left w:w="-1" w:type="dxa"/>
              <w:bottom w:w="-1" w:type="dxa"/>
              <w:right w:w="-1" w:type="dxa"/>
            </w:tcMar>
            <w:vAlign w:val="center"/>
          </w:tcPr>
          <w:p w14:paraId="7CD341D0" w14:textId="77777777" w:rsidR="00A5304E" w:rsidRDefault="00A5304E" w:rsidP="00C45ED6">
            <w:pPr>
              <w:widowControl/>
              <w:snapToGrid w:val="0"/>
              <w:jc w:val="left"/>
              <w:rPr>
                <w:rFonts w:ascii="Times New Roman Regular" w:hAnsi="Times New Roman Regular" w:cs="Times New Roman Regular"/>
                <w:lang w:eastAsia="en-US"/>
              </w:rPr>
            </w:pPr>
            <w:r>
              <w:rPr>
                <w:rFonts w:ascii="Times New Roman Regular" w:hAnsi="Times New Roman Regular" w:cs="Times New Roman Regular"/>
                <w:lang w:bidi="ar"/>
              </w:rPr>
              <w:t>24-h UCE, μg/24 h</w:t>
            </w:r>
          </w:p>
        </w:tc>
        <w:tc>
          <w:tcPr>
            <w:tcW w:w="516" w:type="pct"/>
            <w:tcBorders>
              <w:top w:val="nil"/>
              <w:left w:val="nil"/>
              <w:bottom w:val="nil"/>
              <w:right w:val="nil"/>
            </w:tcBorders>
            <w:tcMar>
              <w:top w:w="-1" w:type="dxa"/>
              <w:left w:w="-1" w:type="dxa"/>
              <w:bottom w:w="-1" w:type="dxa"/>
              <w:right w:w="-1" w:type="dxa"/>
            </w:tcMar>
            <w:vAlign w:val="center"/>
          </w:tcPr>
          <w:p w14:paraId="4F90B4AF" w14:textId="77777777" w:rsidR="00A5304E" w:rsidRDefault="00A5304E" w:rsidP="00C45ED6">
            <w:pPr>
              <w:widowControl/>
              <w:snapToGrid w:val="0"/>
              <w:jc w:val="left"/>
              <w:rPr>
                <w:rFonts w:ascii="Times New Roman Regular" w:hAnsi="Times New Roman Regular" w:cs="Times New Roman Regular"/>
                <w:lang w:eastAsia="en-US"/>
              </w:rPr>
            </w:pPr>
            <w:r>
              <w:rPr>
                <w:rFonts w:ascii="Times New Roman Regular" w:hAnsi="Times New Roman Regular" w:cs="Times New Roman Regular"/>
                <w:lang w:bidi="ar"/>
              </w:rPr>
              <w:t>0.763 (0.651-0.863)</w:t>
            </w:r>
          </w:p>
        </w:tc>
        <w:tc>
          <w:tcPr>
            <w:tcW w:w="353" w:type="pct"/>
            <w:tcBorders>
              <w:top w:val="nil"/>
              <w:left w:val="nil"/>
              <w:bottom w:val="nil"/>
              <w:right w:val="nil"/>
            </w:tcBorders>
            <w:tcMar>
              <w:top w:w="-1" w:type="dxa"/>
              <w:left w:w="-1" w:type="dxa"/>
              <w:bottom w:w="-1" w:type="dxa"/>
              <w:right w:w="-1" w:type="dxa"/>
            </w:tcMar>
            <w:vAlign w:val="center"/>
          </w:tcPr>
          <w:p w14:paraId="7D707B9B"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369.3</w:t>
            </w:r>
          </w:p>
        </w:tc>
        <w:tc>
          <w:tcPr>
            <w:tcW w:w="538" w:type="pct"/>
            <w:tcBorders>
              <w:top w:val="nil"/>
              <w:left w:val="nil"/>
              <w:bottom w:val="nil"/>
              <w:right w:val="nil"/>
            </w:tcBorders>
            <w:tcMar>
              <w:top w:w="-1" w:type="dxa"/>
              <w:left w:w="-1" w:type="dxa"/>
              <w:bottom w:w="-1" w:type="dxa"/>
              <w:right w:w="-1" w:type="dxa"/>
            </w:tcMar>
            <w:vAlign w:val="center"/>
          </w:tcPr>
          <w:p w14:paraId="5F42E7F0" w14:textId="77777777" w:rsidR="00A5304E" w:rsidRDefault="00A5304E" w:rsidP="00C45ED6">
            <w:pPr>
              <w:widowControl/>
              <w:snapToGrid w:val="0"/>
              <w:jc w:val="center"/>
              <w:rPr>
                <w:rFonts w:ascii="Times New Roman Regular" w:hAnsi="Times New Roman Regular" w:cs="Times New Roman Regular"/>
                <w:lang w:eastAsia="en-US"/>
              </w:rPr>
            </w:pPr>
            <w:r>
              <w:rPr>
                <w:rFonts w:ascii="Times New Roman Regular" w:hAnsi="Times New Roman Regular" w:cs="Times New Roman Regular"/>
                <w:lang w:bidi="ar"/>
              </w:rPr>
              <w:t>66.7 (48.2-82.0)</w:t>
            </w:r>
          </w:p>
        </w:tc>
        <w:tc>
          <w:tcPr>
            <w:tcW w:w="538" w:type="pct"/>
            <w:tcBorders>
              <w:top w:val="nil"/>
              <w:left w:val="nil"/>
              <w:bottom w:val="nil"/>
              <w:right w:val="nil"/>
            </w:tcBorders>
            <w:tcMar>
              <w:top w:w="-1" w:type="dxa"/>
              <w:left w:w="-1" w:type="dxa"/>
              <w:bottom w:w="-1" w:type="dxa"/>
              <w:right w:w="-1" w:type="dxa"/>
            </w:tcMar>
            <w:vAlign w:val="center"/>
          </w:tcPr>
          <w:p w14:paraId="24C8BB21" w14:textId="77777777" w:rsidR="00A5304E" w:rsidRDefault="00A5304E" w:rsidP="00C45ED6">
            <w:pPr>
              <w:widowControl/>
              <w:snapToGrid w:val="0"/>
              <w:jc w:val="center"/>
              <w:rPr>
                <w:rFonts w:ascii="Times New Roman Regular" w:hAnsi="Times New Roman Regular" w:cs="Times New Roman Regular"/>
                <w:lang w:eastAsia="en-US"/>
              </w:rPr>
            </w:pPr>
            <w:r>
              <w:rPr>
                <w:rFonts w:ascii="Times New Roman Regular" w:hAnsi="Times New Roman Regular" w:cs="Times New Roman Regular"/>
                <w:lang w:bidi="ar"/>
              </w:rPr>
              <w:t>77.1 (65.6-86.3)</w:t>
            </w:r>
          </w:p>
        </w:tc>
        <w:tc>
          <w:tcPr>
            <w:tcW w:w="439" w:type="pct"/>
            <w:tcBorders>
              <w:top w:val="nil"/>
              <w:left w:val="nil"/>
              <w:bottom w:val="nil"/>
              <w:right w:val="nil"/>
            </w:tcBorders>
            <w:tcMar>
              <w:top w:w="-1" w:type="dxa"/>
              <w:left w:w="-1" w:type="dxa"/>
              <w:bottom w:w="-1" w:type="dxa"/>
              <w:right w:w="-1" w:type="dxa"/>
            </w:tcMar>
            <w:vAlign w:val="center"/>
          </w:tcPr>
          <w:p w14:paraId="43BFABC4"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57.9 (40.8-73.7)</w:t>
            </w:r>
          </w:p>
        </w:tc>
        <w:tc>
          <w:tcPr>
            <w:tcW w:w="439" w:type="pct"/>
            <w:tcBorders>
              <w:top w:val="nil"/>
              <w:left w:val="nil"/>
              <w:bottom w:val="nil"/>
              <w:right w:val="nil"/>
            </w:tcBorders>
            <w:tcMar>
              <w:top w:w="-1" w:type="dxa"/>
              <w:left w:w="-1" w:type="dxa"/>
              <w:bottom w:w="-1" w:type="dxa"/>
              <w:right w:w="-1" w:type="dxa"/>
            </w:tcMar>
            <w:vAlign w:val="center"/>
          </w:tcPr>
          <w:p w14:paraId="2B2D62AF"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83.1 (71.7-91.2)</w:t>
            </w:r>
          </w:p>
        </w:tc>
        <w:tc>
          <w:tcPr>
            <w:tcW w:w="555" w:type="pct"/>
            <w:tcBorders>
              <w:top w:val="nil"/>
              <w:left w:val="nil"/>
              <w:bottom w:val="nil"/>
              <w:right w:val="nil"/>
            </w:tcBorders>
            <w:tcMar>
              <w:top w:w="-1" w:type="dxa"/>
              <w:left w:w="-1" w:type="dxa"/>
              <w:bottom w:w="-1" w:type="dxa"/>
              <w:right w:w="-1" w:type="dxa"/>
            </w:tcMar>
            <w:vAlign w:val="center"/>
          </w:tcPr>
          <w:p w14:paraId="072F9D4F"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2.92 (1.78-4.78)</w:t>
            </w:r>
          </w:p>
        </w:tc>
        <w:tc>
          <w:tcPr>
            <w:tcW w:w="439" w:type="pct"/>
            <w:tcBorders>
              <w:top w:val="nil"/>
              <w:left w:val="nil"/>
              <w:bottom w:val="nil"/>
              <w:right w:val="nil"/>
            </w:tcBorders>
            <w:tcMar>
              <w:top w:w="-1" w:type="dxa"/>
              <w:left w:w="-1" w:type="dxa"/>
              <w:bottom w:w="-1" w:type="dxa"/>
              <w:right w:w="-1" w:type="dxa"/>
            </w:tcMar>
            <w:vAlign w:val="center"/>
          </w:tcPr>
          <w:p w14:paraId="48B288FC"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0.43 (0.26-0.71)</w:t>
            </w:r>
          </w:p>
        </w:tc>
        <w:tc>
          <w:tcPr>
            <w:tcW w:w="491" w:type="pct"/>
            <w:tcBorders>
              <w:top w:val="nil"/>
              <w:left w:val="nil"/>
              <w:bottom w:val="nil"/>
              <w:right w:val="nil"/>
            </w:tcBorders>
            <w:tcMar>
              <w:top w:w="-1" w:type="dxa"/>
              <w:left w:w="-1" w:type="dxa"/>
              <w:bottom w:w="-1" w:type="dxa"/>
              <w:right w:w="-1" w:type="dxa"/>
            </w:tcMar>
            <w:vAlign w:val="center"/>
          </w:tcPr>
          <w:p w14:paraId="043E089D"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73.8 (64.2-82.0)</w:t>
            </w:r>
          </w:p>
        </w:tc>
      </w:tr>
      <w:tr w:rsidR="00A5304E" w14:paraId="52CE9A83" w14:textId="77777777" w:rsidTr="00C45ED6">
        <w:trPr>
          <w:jc w:val="center"/>
        </w:trPr>
        <w:tc>
          <w:tcPr>
            <w:tcW w:w="349" w:type="pct"/>
            <w:vMerge/>
            <w:tcBorders>
              <w:left w:val="nil"/>
              <w:bottom w:val="single" w:sz="12" w:space="0" w:color="auto"/>
              <w:right w:val="nil"/>
            </w:tcBorders>
            <w:tcMar>
              <w:top w:w="-1" w:type="dxa"/>
              <w:left w:w="-1" w:type="dxa"/>
              <w:bottom w:w="-1" w:type="dxa"/>
              <w:right w:w="-1" w:type="dxa"/>
            </w:tcMar>
            <w:vAlign w:val="center"/>
          </w:tcPr>
          <w:p w14:paraId="6E31A7E6" w14:textId="77777777" w:rsidR="00A5304E" w:rsidRDefault="00A5304E" w:rsidP="00C45ED6">
            <w:pPr>
              <w:widowControl/>
              <w:snapToGrid w:val="0"/>
              <w:jc w:val="center"/>
              <w:rPr>
                <w:rFonts w:ascii="Times New Roman Regular" w:hAnsi="Times New Roman Regular" w:cs="Times New Roman Regular"/>
                <w:lang w:eastAsia="en-US"/>
              </w:rPr>
            </w:pPr>
          </w:p>
        </w:tc>
        <w:tc>
          <w:tcPr>
            <w:tcW w:w="336" w:type="pct"/>
            <w:tcBorders>
              <w:top w:val="nil"/>
              <w:left w:val="nil"/>
              <w:bottom w:val="single" w:sz="12" w:space="0" w:color="auto"/>
              <w:right w:val="nil"/>
            </w:tcBorders>
            <w:tcMar>
              <w:top w:w="-1" w:type="dxa"/>
              <w:left w:w="-1" w:type="dxa"/>
              <w:bottom w:w="-1" w:type="dxa"/>
              <w:right w:w="-1" w:type="dxa"/>
            </w:tcMar>
            <w:vAlign w:val="center"/>
          </w:tcPr>
          <w:p w14:paraId="02032742" w14:textId="77777777" w:rsidR="00A5304E" w:rsidRDefault="00A5304E" w:rsidP="00C45ED6">
            <w:pPr>
              <w:widowControl/>
              <w:snapToGrid w:val="0"/>
              <w:jc w:val="left"/>
              <w:rPr>
                <w:rFonts w:ascii="Times New Roman Regular" w:hAnsi="Times New Roman Regular" w:cs="Times New Roman Regular"/>
                <w:lang w:eastAsia="en-US"/>
              </w:rPr>
            </w:pPr>
            <w:r>
              <w:rPr>
                <w:rFonts w:ascii="Times New Roman Regular" w:hAnsi="Times New Roman Regular" w:cs="Times New Roman Regular"/>
                <w:lang w:bidi="ar"/>
              </w:rPr>
              <w:t>Cp, g/L</w:t>
            </w:r>
          </w:p>
        </w:tc>
        <w:tc>
          <w:tcPr>
            <w:tcW w:w="516" w:type="pct"/>
            <w:tcBorders>
              <w:top w:val="nil"/>
              <w:left w:val="nil"/>
              <w:bottom w:val="single" w:sz="12" w:space="0" w:color="auto"/>
              <w:right w:val="nil"/>
            </w:tcBorders>
            <w:tcMar>
              <w:top w:w="-1" w:type="dxa"/>
              <w:left w:w="-1" w:type="dxa"/>
              <w:bottom w:w="-1" w:type="dxa"/>
              <w:right w:w="-1" w:type="dxa"/>
            </w:tcMar>
            <w:vAlign w:val="center"/>
          </w:tcPr>
          <w:p w14:paraId="4E05B677" w14:textId="77777777" w:rsidR="00A5304E" w:rsidRDefault="00A5304E" w:rsidP="00C45ED6">
            <w:pPr>
              <w:widowControl/>
              <w:snapToGrid w:val="0"/>
              <w:jc w:val="left"/>
              <w:rPr>
                <w:rFonts w:ascii="Times New Roman Regular" w:hAnsi="Times New Roman Regular" w:cs="Times New Roman Regular"/>
                <w:lang w:eastAsia="en-US"/>
              </w:rPr>
            </w:pPr>
            <w:r>
              <w:rPr>
                <w:rFonts w:ascii="Times New Roman Regular" w:hAnsi="Times New Roman Regular" w:cs="Times New Roman Regular"/>
                <w:lang w:bidi="ar"/>
              </w:rPr>
              <w:t>0.978 (0.952-0.996)</w:t>
            </w:r>
          </w:p>
        </w:tc>
        <w:tc>
          <w:tcPr>
            <w:tcW w:w="353" w:type="pct"/>
            <w:tcBorders>
              <w:top w:val="nil"/>
              <w:left w:val="nil"/>
              <w:bottom w:val="single" w:sz="12" w:space="0" w:color="auto"/>
              <w:right w:val="nil"/>
            </w:tcBorders>
            <w:tcMar>
              <w:top w:w="-1" w:type="dxa"/>
              <w:left w:w="-1" w:type="dxa"/>
              <w:bottom w:w="-1" w:type="dxa"/>
              <w:right w:w="-1" w:type="dxa"/>
            </w:tcMar>
            <w:vAlign w:val="center"/>
          </w:tcPr>
          <w:p w14:paraId="4C35C282"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0.15</w:t>
            </w:r>
          </w:p>
        </w:tc>
        <w:tc>
          <w:tcPr>
            <w:tcW w:w="538" w:type="pct"/>
            <w:tcBorders>
              <w:top w:val="nil"/>
              <w:left w:val="nil"/>
              <w:bottom w:val="single" w:sz="12" w:space="0" w:color="auto"/>
              <w:right w:val="nil"/>
            </w:tcBorders>
            <w:tcMar>
              <w:top w:w="-1" w:type="dxa"/>
              <w:left w:w="-1" w:type="dxa"/>
              <w:bottom w:w="-1" w:type="dxa"/>
              <w:right w:w="-1" w:type="dxa"/>
            </w:tcMar>
            <w:vAlign w:val="center"/>
          </w:tcPr>
          <w:p w14:paraId="4573C673" w14:textId="77777777" w:rsidR="00A5304E" w:rsidRDefault="00A5304E" w:rsidP="00C45ED6">
            <w:pPr>
              <w:widowControl/>
              <w:snapToGrid w:val="0"/>
              <w:jc w:val="center"/>
              <w:rPr>
                <w:rFonts w:ascii="Times New Roman Regular" w:hAnsi="Times New Roman Regular" w:cs="Times New Roman Regular"/>
                <w:lang w:eastAsia="en-US"/>
              </w:rPr>
            </w:pPr>
            <w:r>
              <w:rPr>
                <w:rFonts w:ascii="Times New Roman Regular" w:hAnsi="Times New Roman Regular" w:cs="Times New Roman Regular"/>
                <w:lang w:bidi="ar"/>
              </w:rPr>
              <w:t>84.8 (68.1-94.9)</w:t>
            </w:r>
          </w:p>
        </w:tc>
        <w:tc>
          <w:tcPr>
            <w:tcW w:w="538" w:type="pct"/>
            <w:tcBorders>
              <w:top w:val="nil"/>
              <w:left w:val="nil"/>
              <w:bottom w:val="single" w:sz="12" w:space="0" w:color="auto"/>
              <w:right w:val="nil"/>
            </w:tcBorders>
            <w:tcMar>
              <w:top w:w="-1" w:type="dxa"/>
              <w:left w:w="-1" w:type="dxa"/>
              <w:bottom w:w="-1" w:type="dxa"/>
              <w:right w:w="-1" w:type="dxa"/>
            </w:tcMar>
            <w:vAlign w:val="center"/>
          </w:tcPr>
          <w:p w14:paraId="0590FFB9" w14:textId="77777777" w:rsidR="00A5304E" w:rsidRDefault="00A5304E" w:rsidP="00C45ED6">
            <w:pPr>
              <w:widowControl/>
              <w:snapToGrid w:val="0"/>
              <w:jc w:val="center"/>
              <w:rPr>
                <w:rFonts w:ascii="Times New Roman Regular" w:hAnsi="Times New Roman Regular" w:cs="Times New Roman Regular"/>
                <w:lang w:eastAsia="en-US"/>
              </w:rPr>
            </w:pPr>
            <w:r>
              <w:rPr>
                <w:rFonts w:ascii="Times New Roman Regular" w:hAnsi="Times New Roman Regular" w:cs="Times New Roman Regular"/>
                <w:lang w:bidi="ar"/>
              </w:rPr>
              <w:t>97.1 (90.1-99.7)</w:t>
            </w:r>
          </w:p>
        </w:tc>
        <w:tc>
          <w:tcPr>
            <w:tcW w:w="439" w:type="pct"/>
            <w:tcBorders>
              <w:top w:val="nil"/>
              <w:left w:val="nil"/>
              <w:bottom w:val="single" w:sz="12" w:space="0" w:color="auto"/>
              <w:right w:val="nil"/>
            </w:tcBorders>
            <w:tcMar>
              <w:top w:w="-1" w:type="dxa"/>
              <w:left w:w="-1" w:type="dxa"/>
              <w:bottom w:w="-1" w:type="dxa"/>
              <w:right w:w="-1" w:type="dxa"/>
            </w:tcMar>
            <w:vAlign w:val="center"/>
          </w:tcPr>
          <w:p w14:paraId="26AF1CCC"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93.3 (77.9-99.2)</w:t>
            </w:r>
          </w:p>
        </w:tc>
        <w:tc>
          <w:tcPr>
            <w:tcW w:w="439" w:type="pct"/>
            <w:tcBorders>
              <w:top w:val="nil"/>
              <w:left w:val="nil"/>
              <w:bottom w:val="single" w:sz="12" w:space="0" w:color="auto"/>
              <w:right w:val="nil"/>
            </w:tcBorders>
            <w:tcMar>
              <w:top w:w="-1" w:type="dxa"/>
              <w:left w:w="-1" w:type="dxa"/>
              <w:bottom w:w="-1" w:type="dxa"/>
              <w:right w:w="-1" w:type="dxa"/>
            </w:tcMar>
            <w:vAlign w:val="center"/>
          </w:tcPr>
          <w:p w14:paraId="26F0879E"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93.2 (84.7-97.7)</w:t>
            </w:r>
          </w:p>
        </w:tc>
        <w:tc>
          <w:tcPr>
            <w:tcW w:w="555" w:type="pct"/>
            <w:tcBorders>
              <w:top w:val="nil"/>
              <w:left w:val="nil"/>
              <w:bottom w:val="single" w:sz="12" w:space="0" w:color="auto"/>
              <w:right w:val="nil"/>
            </w:tcBorders>
            <w:tcMar>
              <w:top w:w="-1" w:type="dxa"/>
              <w:left w:w="-1" w:type="dxa"/>
              <w:bottom w:w="-1" w:type="dxa"/>
              <w:right w:w="-1" w:type="dxa"/>
            </w:tcMar>
            <w:vAlign w:val="center"/>
          </w:tcPr>
          <w:p w14:paraId="748F7324"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29.70 (7.52-117.29)</w:t>
            </w:r>
          </w:p>
        </w:tc>
        <w:tc>
          <w:tcPr>
            <w:tcW w:w="439" w:type="pct"/>
            <w:tcBorders>
              <w:top w:val="nil"/>
              <w:left w:val="nil"/>
              <w:bottom w:val="single" w:sz="12" w:space="0" w:color="auto"/>
              <w:right w:val="nil"/>
            </w:tcBorders>
            <w:tcMar>
              <w:top w:w="-1" w:type="dxa"/>
              <w:left w:w="-1" w:type="dxa"/>
              <w:bottom w:w="-1" w:type="dxa"/>
              <w:right w:w="-1" w:type="dxa"/>
            </w:tcMar>
            <w:vAlign w:val="center"/>
          </w:tcPr>
          <w:p w14:paraId="3E411581"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0.16 (0.07-0.35)</w:t>
            </w:r>
          </w:p>
        </w:tc>
        <w:tc>
          <w:tcPr>
            <w:tcW w:w="491" w:type="pct"/>
            <w:tcBorders>
              <w:top w:val="nil"/>
              <w:left w:val="nil"/>
              <w:bottom w:val="single" w:sz="12" w:space="0" w:color="auto"/>
              <w:right w:val="nil"/>
            </w:tcBorders>
            <w:tcMar>
              <w:top w:w="-1" w:type="dxa"/>
              <w:left w:w="-1" w:type="dxa"/>
              <w:bottom w:w="-1" w:type="dxa"/>
              <w:right w:w="-1" w:type="dxa"/>
            </w:tcMar>
            <w:vAlign w:val="center"/>
          </w:tcPr>
          <w:p w14:paraId="61E2BF37" w14:textId="77777777" w:rsidR="00A5304E" w:rsidRDefault="00A5304E" w:rsidP="00C45ED6">
            <w:pPr>
              <w:widowControl/>
              <w:snapToGrid w:val="0"/>
              <w:jc w:val="right"/>
              <w:rPr>
                <w:rFonts w:ascii="Times New Roman Regular" w:hAnsi="Times New Roman Regular" w:cs="Times New Roman Regular"/>
                <w:lang w:eastAsia="en-US"/>
              </w:rPr>
            </w:pPr>
            <w:r>
              <w:rPr>
                <w:rFonts w:ascii="Times New Roman Regular" w:hAnsi="Times New Roman Regular" w:cs="Times New Roman Regular"/>
                <w:lang w:bidi="ar"/>
              </w:rPr>
              <w:t>93.2 (86.5-97.2)</w:t>
            </w:r>
          </w:p>
        </w:tc>
      </w:tr>
    </w:tbl>
    <w:p w14:paraId="17A5B6C5" w14:textId="5B0A8541" w:rsidR="0067415F" w:rsidRDefault="00A5304E">
      <w:r>
        <w:rPr>
          <w:rFonts w:ascii="Times New Roman Bold" w:eastAsia="Times New Roman" w:hAnsi="Times New Roman Bold" w:cs="Times New Roman Bold"/>
          <w:b/>
          <w:kern w:val="0"/>
          <w:sz w:val="20"/>
          <w:szCs w:val="20"/>
        </w:rPr>
        <w:t xml:space="preserve">Footnote: </w:t>
      </w:r>
      <w:r>
        <w:rPr>
          <w:rFonts w:ascii="Times New Roman" w:eastAsia="Times New Roman" w:hAnsi="Times New Roman" w:cs="Times New Roman"/>
          <w:bCs/>
          <w:kern w:val="0"/>
          <w:sz w:val="20"/>
          <w:szCs w:val="20"/>
        </w:rPr>
        <w:t>The optimal cutoff was determined using the Youden index. AUROC 95% CIs were estimated using DeLong’s method. Confidence intervals for sensitivity, specificity, PPV, NPV, and diagnostic accuracy were calculated using the exact binomial method. Confidence intervals for PLR and NLR were calculated using the log method. Abbreviations: 24-h UCE, 24-hour urinary copper excretion; AUROC, area under the receiver operating characteristic curve; CI, confidence interval; Cp, ceruloplasmin; NLR, negative likelihood ratio; non-WD, non-Wilson disease; NPV, negative predictive value; PLR, positive likelihood ratio; PPV, positive predictive value; WD, Wilson disease.</w:t>
      </w:r>
    </w:p>
    <w:sectPr w:rsidR="006741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Bold">
    <w:panose1 w:val="02020803070505020304"/>
    <w:charset w:val="00"/>
    <w:family w:val="auto"/>
    <w:pitch w:val="default"/>
    <w:sig w:usb0="E0000AFF" w:usb1="00007843" w:usb2="00000001" w:usb3="00000000" w:csb0="400001BF" w:csb1="DFF70000"/>
  </w:font>
  <w:font w:name="華康少女文字W5(P)">
    <w:altName w:val="Microsoft JhengHei"/>
    <w:charset w:val="88"/>
    <w:family w:val="auto"/>
    <w:pitch w:val="default"/>
    <w:sig w:usb0="800002E3" w:usb1="28CFFCFA" w:usb2="00000016" w:usb3="00000000" w:csb0="00100001" w:csb1="00000000"/>
  </w:font>
  <w:font w:name="Times New Roman Regular">
    <w:altName w:val="Times New Roman"/>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F5"/>
    <w:rsid w:val="004244E6"/>
    <w:rsid w:val="00606FF5"/>
    <w:rsid w:val="0067415F"/>
    <w:rsid w:val="00A5304E"/>
    <w:rsid w:val="00CE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DB1EF-4D9D-4999-A238-B19192B6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F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6F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6F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6F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6F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6F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F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F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F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F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6F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6F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6F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6F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6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FF5"/>
    <w:rPr>
      <w:rFonts w:eastAsiaTheme="majorEastAsia" w:cstheme="majorBidi"/>
      <w:color w:val="272727" w:themeColor="text1" w:themeTint="D8"/>
    </w:rPr>
  </w:style>
  <w:style w:type="paragraph" w:styleId="Title">
    <w:name w:val="Title"/>
    <w:basedOn w:val="Normal"/>
    <w:next w:val="Normal"/>
    <w:link w:val="TitleChar"/>
    <w:uiPriority w:val="10"/>
    <w:qFormat/>
    <w:rsid w:val="00606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F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FF5"/>
    <w:pPr>
      <w:spacing w:before="160"/>
      <w:jc w:val="center"/>
    </w:pPr>
    <w:rPr>
      <w:i/>
      <w:iCs/>
      <w:color w:val="404040" w:themeColor="text1" w:themeTint="BF"/>
    </w:rPr>
  </w:style>
  <w:style w:type="character" w:customStyle="1" w:styleId="QuoteChar">
    <w:name w:val="Quote Char"/>
    <w:basedOn w:val="DefaultParagraphFont"/>
    <w:link w:val="Quote"/>
    <w:uiPriority w:val="29"/>
    <w:rsid w:val="00606FF5"/>
    <w:rPr>
      <w:i/>
      <w:iCs/>
      <w:color w:val="404040" w:themeColor="text1" w:themeTint="BF"/>
    </w:rPr>
  </w:style>
  <w:style w:type="paragraph" w:styleId="ListParagraph">
    <w:name w:val="List Paragraph"/>
    <w:basedOn w:val="Normal"/>
    <w:uiPriority w:val="34"/>
    <w:qFormat/>
    <w:rsid w:val="00606FF5"/>
    <w:pPr>
      <w:ind w:left="720"/>
      <w:contextualSpacing/>
    </w:pPr>
  </w:style>
  <w:style w:type="character" w:styleId="IntenseEmphasis">
    <w:name w:val="Intense Emphasis"/>
    <w:basedOn w:val="DefaultParagraphFont"/>
    <w:uiPriority w:val="21"/>
    <w:qFormat/>
    <w:rsid w:val="00606FF5"/>
    <w:rPr>
      <w:i/>
      <w:iCs/>
      <w:color w:val="2F5496" w:themeColor="accent1" w:themeShade="BF"/>
    </w:rPr>
  </w:style>
  <w:style w:type="paragraph" w:styleId="IntenseQuote">
    <w:name w:val="Intense Quote"/>
    <w:basedOn w:val="Normal"/>
    <w:next w:val="Normal"/>
    <w:link w:val="IntenseQuoteChar"/>
    <w:uiPriority w:val="30"/>
    <w:qFormat/>
    <w:rsid w:val="00606F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6FF5"/>
    <w:rPr>
      <w:i/>
      <w:iCs/>
      <w:color w:val="2F5496" w:themeColor="accent1" w:themeShade="BF"/>
    </w:rPr>
  </w:style>
  <w:style w:type="character" w:styleId="IntenseReference">
    <w:name w:val="Intense Reference"/>
    <w:basedOn w:val="DefaultParagraphFont"/>
    <w:uiPriority w:val="32"/>
    <w:qFormat/>
    <w:rsid w:val="00606FF5"/>
    <w:rPr>
      <w:b/>
      <w:bCs/>
      <w:smallCaps/>
      <w:color w:val="2F5496" w:themeColor="accent1" w:themeShade="BF"/>
      <w:spacing w:val="5"/>
    </w:rPr>
  </w:style>
  <w:style w:type="table" w:styleId="TableGrid">
    <w:name w:val="Table Grid"/>
    <w:basedOn w:val="TableNormal"/>
    <w:qFormat/>
    <w:rsid w:val="00A5304E"/>
    <w:pPr>
      <w:widowControl w:val="0"/>
      <w:spacing w:after="0" w:line="240" w:lineRule="auto"/>
      <w:jc w:val="both"/>
    </w:pPr>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2026-06-18T01:22:00Z</dcterms:created>
  <dcterms:modified xsi:type="dcterms:W3CDTF">2026-06-18T01:22:00Z</dcterms:modified>
</cp:coreProperties>
</file>