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E59B" w14:textId="77777777" w:rsidR="0082376E" w:rsidRDefault="0082376E" w:rsidP="0082376E">
      <w:pPr>
        <w:rPr>
          <w:rFonts w:ascii="Times New Roman Bold" w:eastAsia="華康少女文字W5(P)" w:hAnsi="Times New Roman Bold" w:cs="Times New Roman Bold"/>
          <w:b/>
          <w:kern w:val="0"/>
          <w:sz w:val="20"/>
          <w:szCs w:val="20"/>
        </w:rPr>
      </w:pPr>
      <w:r>
        <w:rPr>
          <w:rFonts w:ascii="Times New Roman Bold" w:eastAsia="華康少女文字W5(P)" w:hAnsi="Times New Roman Bold" w:cs="Times New Roman Bold"/>
          <w:b/>
          <w:kern w:val="0"/>
          <w:sz w:val="20"/>
          <w:szCs w:val="20"/>
          <w:lang w:eastAsia="zh-CN"/>
        </w:rPr>
        <w:t>Supplementary Table S4. Sensitivity analyses of diagnostic performance according to</w:t>
      </w:r>
      <w:r>
        <w:rPr>
          <w:rFonts w:ascii="Times New Roman Bold Italic" w:eastAsia="華康少女文字W5(P)" w:hAnsi="Times New Roman Bold Italic" w:cs="Times New Roman Bold Italic"/>
          <w:b/>
          <w:i/>
          <w:iCs/>
          <w:kern w:val="0"/>
          <w:sz w:val="20"/>
          <w:szCs w:val="20"/>
          <w:lang w:eastAsia="zh-CN"/>
        </w:rPr>
        <w:t xml:space="preserve"> ATP7B </w:t>
      </w:r>
      <w:r>
        <w:rPr>
          <w:rFonts w:ascii="Times New Roman Bold" w:eastAsia="華康少女文字W5(P)" w:hAnsi="Times New Roman Bold" w:cs="Times New Roman Bold"/>
          <w:b/>
          <w:kern w:val="0"/>
          <w:sz w:val="20"/>
          <w:szCs w:val="20"/>
          <w:lang w:eastAsia="zh-CN"/>
        </w:rPr>
        <w:t>variant status</w:t>
      </w:r>
    </w:p>
    <w:tbl>
      <w:tblPr>
        <w:tblW w:w="16170" w:type="dxa"/>
        <w:jc w:val="center"/>
        <w:tblBorders>
          <w:top w:val="none" w:sz="8" w:space="0" w:color="auto"/>
          <w:left w:val="none" w:sz="8" w:space="0" w:color="auto"/>
          <w:bottom w:val="none" w:sz="8" w:space="0" w:color="auto"/>
          <w:right w:val="none" w:sz="8" w:space="0" w:color="auto"/>
          <w:insideH w:val="none" w:sz="6" w:space="0" w:color="auto"/>
          <w:insideV w:val="none" w:sz="6" w:space="0" w:color="auto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431"/>
        <w:gridCol w:w="1328"/>
        <w:gridCol w:w="1221"/>
        <w:gridCol w:w="1642"/>
        <w:gridCol w:w="1113"/>
        <w:gridCol w:w="1453"/>
        <w:gridCol w:w="1542"/>
        <w:gridCol w:w="1469"/>
        <w:gridCol w:w="1621"/>
        <w:gridCol w:w="1726"/>
        <w:gridCol w:w="1624"/>
      </w:tblGrid>
      <w:tr w:rsidR="0082376E" w14:paraId="339B2A6D" w14:textId="77777777" w:rsidTr="00C45ED6">
        <w:trPr>
          <w:trHeight w:val="90"/>
          <w:jc w:val="center"/>
        </w:trPr>
        <w:tc>
          <w:tcPr>
            <w:tcW w:w="143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5CEC4093" w14:textId="77777777" w:rsidR="0082376E" w:rsidRDefault="0082376E" w:rsidP="00C45ED6">
            <w:pPr>
              <w:jc w:val="center"/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</w:pPr>
            <w:r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  <w:t>Sensitivity analysis set</w:t>
            </w:r>
          </w:p>
        </w:tc>
        <w:tc>
          <w:tcPr>
            <w:tcW w:w="132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6E763C5D" w14:textId="77777777" w:rsidR="0082376E" w:rsidRDefault="0082376E" w:rsidP="00C45ED6">
            <w:pPr>
              <w:jc w:val="center"/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</w:pPr>
            <w:r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  <w:t>Marker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48F6AA61" w14:textId="77777777" w:rsidR="0082376E" w:rsidRDefault="0082376E" w:rsidP="00C45ED6">
            <w:pPr>
              <w:jc w:val="center"/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</w:pPr>
            <w:r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  <w:t>N, WD/non-WD</w:t>
            </w:r>
          </w:p>
        </w:tc>
        <w:tc>
          <w:tcPr>
            <w:tcW w:w="1642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9F328F9" w14:textId="77777777" w:rsidR="0082376E" w:rsidRDefault="0082376E" w:rsidP="00C45ED6">
            <w:pPr>
              <w:jc w:val="center"/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</w:pPr>
            <w:r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  <w:t>AUROC</w:t>
            </w:r>
          </w:p>
          <w:p w14:paraId="4077BB36" w14:textId="77777777" w:rsidR="0082376E" w:rsidRDefault="0082376E" w:rsidP="00C45ED6">
            <w:pPr>
              <w:jc w:val="center"/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</w:pPr>
            <w:r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  <w:t>(95% CI)</w:t>
            </w: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4C55EFE4" w14:textId="77777777" w:rsidR="0082376E" w:rsidRDefault="0082376E" w:rsidP="00C45ED6">
            <w:pPr>
              <w:jc w:val="center"/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</w:pPr>
            <w:r>
              <w:rPr>
                <w:rFonts w:ascii="Times New Roman Bold" w:eastAsia="SimSun" w:hAnsi="Times New Roman Bold" w:cs="Times New Roman Bold"/>
                <w:b/>
                <w:kern w:val="0"/>
                <w:sz w:val="20"/>
                <w:szCs w:val="20"/>
                <w:lang w:eastAsia="zh-CN" w:bidi="ar"/>
              </w:rPr>
              <w:t>Optimal cutoff</w:t>
            </w:r>
          </w:p>
        </w:tc>
        <w:tc>
          <w:tcPr>
            <w:tcW w:w="1453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17E0DF8A" w14:textId="77777777" w:rsidR="0082376E" w:rsidRDefault="0082376E" w:rsidP="00C45ED6">
            <w:pPr>
              <w:jc w:val="center"/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</w:pPr>
            <w:r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  <w:t>Sensitivity, %</w:t>
            </w:r>
          </w:p>
          <w:p w14:paraId="28EC5F37" w14:textId="77777777" w:rsidR="0082376E" w:rsidRDefault="0082376E" w:rsidP="00C45ED6">
            <w:pPr>
              <w:jc w:val="center"/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</w:pPr>
            <w:r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  <w:t>(95% CI)</w:t>
            </w:r>
          </w:p>
        </w:tc>
        <w:tc>
          <w:tcPr>
            <w:tcW w:w="1542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0F0D8FA9" w14:textId="77777777" w:rsidR="0082376E" w:rsidRDefault="0082376E" w:rsidP="00C45ED6">
            <w:pPr>
              <w:jc w:val="center"/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</w:pPr>
            <w:r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  <w:t>Specificity, %</w:t>
            </w:r>
          </w:p>
          <w:p w14:paraId="164CEF3C" w14:textId="77777777" w:rsidR="0082376E" w:rsidRDefault="0082376E" w:rsidP="00C45ED6">
            <w:pPr>
              <w:jc w:val="center"/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</w:pPr>
            <w:r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  <w:t>(95% CI)</w:t>
            </w:r>
          </w:p>
        </w:tc>
        <w:tc>
          <w:tcPr>
            <w:tcW w:w="1469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082840D" w14:textId="77777777" w:rsidR="0082376E" w:rsidRDefault="0082376E" w:rsidP="00C45ED6">
            <w:pPr>
              <w:jc w:val="center"/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</w:pPr>
            <w:r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  <w:t>PPV, %</w:t>
            </w:r>
          </w:p>
          <w:p w14:paraId="4A10A37D" w14:textId="77777777" w:rsidR="0082376E" w:rsidRDefault="0082376E" w:rsidP="00C45ED6">
            <w:pPr>
              <w:jc w:val="center"/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</w:pPr>
            <w:r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  <w:t>(95% CI)</w:t>
            </w:r>
          </w:p>
        </w:tc>
        <w:tc>
          <w:tcPr>
            <w:tcW w:w="162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B5CD829" w14:textId="77777777" w:rsidR="0082376E" w:rsidRDefault="0082376E" w:rsidP="00C45ED6">
            <w:pPr>
              <w:jc w:val="center"/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</w:pPr>
            <w:r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  <w:t>NPV, %</w:t>
            </w:r>
          </w:p>
          <w:p w14:paraId="33DD905C" w14:textId="77777777" w:rsidR="0082376E" w:rsidRDefault="0082376E" w:rsidP="00C45ED6">
            <w:pPr>
              <w:jc w:val="center"/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</w:pPr>
            <w:r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  <w:t>(95% CI)</w:t>
            </w:r>
          </w:p>
        </w:tc>
        <w:tc>
          <w:tcPr>
            <w:tcW w:w="1726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55F7EFD0" w14:textId="77777777" w:rsidR="0082376E" w:rsidRDefault="0082376E" w:rsidP="00C45ED6">
            <w:pPr>
              <w:jc w:val="center"/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</w:pPr>
            <w:r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  <w:t>PLR</w:t>
            </w:r>
          </w:p>
          <w:p w14:paraId="23B7E8F6" w14:textId="77777777" w:rsidR="0082376E" w:rsidRDefault="0082376E" w:rsidP="00C45ED6">
            <w:pPr>
              <w:jc w:val="center"/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</w:pPr>
            <w:r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  <w:t>(95% CI)</w:t>
            </w:r>
          </w:p>
        </w:tc>
        <w:tc>
          <w:tcPr>
            <w:tcW w:w="1624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6170FC82" w14:textId="77777777" w:rsidR="0082376E" w:rsidRDefault="0082376E" w:rsidP="00C45ED6">
            <w:pPr>
              <w:jc w:val="center"/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</w:pPr>
            <w:r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  <w:t>NLR</w:t>
            </w:r>
          </w:p>
          <w:p w14:paraId="4693EA95" w14:textId="77777777" w:rsidR="0082376E" w:rsidRDefault="0082376E" w:rsidP="00C45ED6">
            <w:pPr>
              <w:jc w:val="center"/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</w:pPr>
            <w:r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  <w:t>(95% CI)</w:t>
            </w:r>
          </w:p>
        </w:tc>
      </w:tr>
      <w:tr w:rsidR="0082376E" w14:paraId="389CD7B8" w14:textId="77777777" w:rsidTr="00C45ED6">
        <w:trPr>
          <w:trHeight w:val="90"/>
          <w:jc w:val="center"/>
        </w:trPr>
        <w:tc>
          <w:tcPr>
            <w:tcW w:w="1431" w:type="dxa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62B75855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 xml:space="preserve">Biallelic pathogenic/likely pathogenic </w:t>
            </w:r>
            <w:r>
              <w:rPr>
                <w:rFonts w:ascii="Times New Roman Regular" w:hAnsi="Times New Roman Regular" w:cs="Times New Roman Regular"/>
                <w:i/>
                <w:sz w:val="20"/>
                <w:szCs w:val="20"/>
              </w:rPr>
              <w:t xml:space="preserve">ATP7B </w:t>
            </w: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variants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EC4B2AF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24-h UCE, μg/24 h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4B07BC70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33/476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02D4FEDD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0.696 (0.594–0.797)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40422686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108.5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44CCAC09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72.7 (54.5–86.7)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AF0BF71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60.5 (56.0–64.9)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00ED3AA8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11.3 (7.4–16.4)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7EFE206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97.0 (94.3–98.6)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8BED35A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1.84 (1.45–2.33)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0BBEFA81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0.45 (0.26–0.79)</w:t>
            </w:r>
          </w:p>
        </w:tc>
      </w:tr>
      <w:tr w:rsidR="0082376E" w14:paraId="578D54F3" w14:textId="77777777" w:rsidTr="00C45ED6">
        <w:trPr>
          <w:trHeight w:val="90"/>
          <w:jc w:val="center"/>
        </w:trPr>
        <w:tc>
          <w:tcPr>
            <w:tcW w:w="1431" w:type="dxa"/>
            <w:vMerge/>
            <w:tcBorders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40C71CD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1C76BC03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Cp, g/L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1217805B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33/476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AA3DE8E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0.992 (0.980–1.000)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6B9DA99A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0.15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1A8065BE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97.0 (84.2–99.9)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4ACBF9F9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96.0 (93.8–97.6)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0E419808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62.7 (48.1–75.9)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057224D4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99.8 (98.8–100.0)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06FB9C28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24.29 (15.57–37.90)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DA2546A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0.03 (0.005–0.22)</w:t>
            </w:r>
          </w:p>
        </w:tc>
      </w:tr>
      <w:tr w:rsidR="0082376E" w14:paraId="01923DAC" w14:textId="77777777" w:rsidTr="00C45ED6">
        <w:trPr>
          <w:trHeight w:val="90"/>
          <w:jc w:val="center"/>
        </w:trPr>
        <w:tc>
          <w:tcPr>
            <w:tcW w:w="1431" w:type="dxa"/>
            <w:vMerge w:val="restart"/>
            <w:tcBorders>
              <w:top w:val="nil"/>
              <w:left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6400E496" w14:textId="77777777" w:rsidR="0082376E" w:rsidRDefault="0082376E" w:rsidP="00C45ED6">
            <w:pPr>
              <w:pStyle w:val="NormalWeb"/>
              <w:widowControl/>
              <w:snapToGrid w:val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 xml:space="preserve">At least one pathogenic/likely pathogenic </w:t>
            </w:r>
            <w:r>
              <w:rPr>
                <w:rFonts w:ascii="Times New Roman Regular" w:hAnsi="Times New Roman Regular" w:cs="Times New Roman Regular"/>
                <w:i/>
                <w:sz w:val="20"/>
                <w:szCs w:val="20"/>
              </w:rPr>
              <w:t xml:space="preserve">ATP7B </w:t>
            </w: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variant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114E476E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24-h UCE, μg/24 h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031700E2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56/476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489A13D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0.746 (0.673–0.818)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4EFB7169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149.7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1F3AA83B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62.5 (48.5–75.1)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854A62B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75.6 (71.5–79.4)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52778514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23.2 (16.7–30.7)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4E3938B7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94.5 (91.7–96.6)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0441A644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2.56 (1.98–3.32)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659433C0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0.50 (0.35–0.70)</w:t>
            </w:r>
          </w:p>
        </w:tc>
      </w:tr>
      <w:tr w:rsidR="0082376E" w14:paraId="246CCC3F" w14:textId="77777777" w:rsidTr="00C45ED6">
        <w:trPr>
          <w:trHeight w:val="90"/>
          <w:jc w:val="center"/>
        </w:trPr>
        <w:tc>
          <w:tcPr>
            <w:tcW w:w="1431" w:type="dxa"/>
            <w:vMerge/>
            <w:tcBorders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625498B1" w14:textId="77777777" w:rsidR="0082376E" w:rsidRDefault="0082376E" w:rsidP="00C45ED6">
            <w:pPr>
              <w:pStyle w:val="NormalWeb"/>
              <w:widowControl/>
              <w:snapToGrid w:val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6272BAC2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Cp, g/L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66737E77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56/476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7C77AD6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0.987 (0.974–0.999)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AC05B41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0.15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00799BAB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94.6 (85.1–98.9)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5455946F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96.0 (93.8–97.6)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22C51B2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73.6 (61.9–83.3)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9470A22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99.3 (98.1–99.9)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55C868E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23.71 (15.19–37.00)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69A2C502" w14:textId="77777777" w:rsidR="0082376E" w:rsidRDefault="0082376E" w:rsidP="00C45ED6">
            <w:pPr>
              <w:pStyle w:val="NormalWeb"/>
              <w:widowControl/>
              <w:snapToGrid w:val="0"/>
              <w:spacing w:beforeAutospacing="0" w:line="240" w:lineRule="atLeast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0.06 (0.02–0.17)</w:t>
            </w:r>
          </w:p>
        </w:tc>
      </w:tr>
    </w:tbl>
    <w:p w14:paraId="7CE463A6" w14:textId="77777777" w:rsidR="0082376E" w:rsidRDefault="0082376E" w:rsidP="0082376E">
      <w:pPr>
        <w:pStyle w:val="NormalWeb"/>
        <w:widowControl/>
        <w:spacing w:beforeAutospacing="0" w:line="360" w:lineRule="auto"/>
        <w:jc w:val="both"/>
        <w:rPr>
          <w:rFonts w:ascii="Times New Roman" w:eastAsia="華康少女文字W5(P)" w:hAnsi="Times New Roman"/>
          <w:bCs/>
          <w:kern w:val="2"/>
          <w:sz w:val="20"/>
          <w:szCs w:val="20"/>
        </w:rPr>
      </w:pPr>
      <w:r>
        <w:rPr>
          <w:rFonts w:ascii="Times New Roman Bold" w:eastAsia="華康少女文字W5(P)" w:hAnsi="Times New Roman Bold" w:cs="Times New Roman Bold"/>
          <w:b/>
          <w:kern w:val="2"/>
          <w:sz w:val="20"/>
          <w:szCs w:val="20"/>
        </w:rPr>
        <w:t xml:space="preserve">Footnote: </w:t>
      </w:r>
      <w:r>
        <w:rPr>
          <w:rFonts w:ascii="Times New Roman" w:eastAsia="華康少女文字W5(P)" w:hAnsi="Times New Roman" w:hint="eastAsia"/>
          <w:bCs/>
          <w:kern w:val="2"/>
          <w:sz w:val="20"/>
          <w:szCs w:val="20"/>
        </w:rPr>
        <w:t xml:space="preserve">The non-WD comparator group included all adjudicated non-WD controls from the primary analytic cohort. The first sensitivity analysis restricted the WD group to patients with biallelic pathogenic or likely pathogenic </w:t>
      </w:r>
      <w:r>
        <w:rPr>
          <w:rFonts w:ascii="Times New Roman" w:eastAsia="華康少女文字W5(P)" w:hAnsi="Times New Roman"/>
          <w:bCs/>
          <w:i/>
          <w:kern w:val="2"/>
          <w:sz w:val="20"/>
          <w:szCs w:val="20"/>
        </w:rPr>
        <w:t xml:space="preserve">ATP7B </w:t>
      </w:r>
      <w:r>
        <w:rPr>
          <w:rFonts w:ascii="Times New Roman" w:eastAsia="華康少女文字W5(P)" w:hAnsi="Times New Roman" w:hint="eastAsia"/>
          <w:bCs/>
          <w:kern w:val="2"/>
          <w:sz w:val="20"/>
          <w:szCs w:val="20"/>
        </w:rPr>
        <w:t xml:space="preserve">variants. The second sensitivity analysis restricted the WD group to patients with at least one pathogenic or likely pathogenic </w:t>
      </w:r>
      <w:r>
        <w:rPr>
          <w:rFonts w:ascii="Times New Roman" w:eastAsia="華康少女文字W5(P)" w:hAnsi="Times New Roman"/>
          <w:bCs/>
          <w:i/>
          <w:kern w:val="2"/>
          <w:sz w:val="20"/>
          <w:szCs w:val="20"/>
        </w:rPr>
        <w:t xml:space="preserve">ATP7B </w:t>
      </w:r>
      <w:r>
        <w:rPr>
          <w:rFonts w:ascii="Times New Roman" w:eastAsia="華康少女文字W5(P)" w:hAnsi="Times New Roman" w:hint="eastAsia"/>
          <w:bCs/>
          <w:kern w:val="2"/>
          <w:sz w:val="20"/>
          <w:szCs w:val="20"/>
        </w:rPr>
        <w:t xml:space="preserve">variant. The optimal </w:t>
      </w:r>
      <w:r>
        <w:rPr>
          <w:rFonts w:ascii="Times New Roman" w:eastAsia="華康少女文字W5(P)" w:hAnsi="Times New Roman"/>
          <w:bCs/>
          <w:kern w:val="2"/>
          <w:sz w:val="20"/>
          <w:szCs w:val="20"/>
        </w:rPr>
        <w:t>cutoff</w:t>
      </w:r>
      <w:r>
        <w:rPr>
          <w:rFonts w:ascii="Times New Roman" w:eastAsia="華康少女文字W5(P)" w:hAnsi="Times New Roman" w:hint="eastAsia"/>
          <w:bCs/>
          <w:kern w:val="2"/>
          <w:sz w:val="20"/>
          <w:szCs w:val="20"/>
        </w:rPr>
        <w:t xml:space="preserve"> was determined using the Youden index. AUROC 95% CIs were estimated using DeLong</w:t>
      </w:r>
      <w:r>
        <w:rPr>
          <w:rFonts w:ascii="Times New Roman" w:eastAsia="華康少女文字W5(P)" w:hAnsi="Times New Roman"/>
          <w:bCs/>
          <w:kern w:val="2"/>
          <w:sz w:val="20"/>
          <w:szCs w:val="20"/>
        </w:rPr>
        <w:t>’</w:t>
      </w:r>
      <w:r>
        <w:rPr>
          <w:rFonts w:ascii="Times New Roman" w:eastAsia="華康少女文字W5(P)" w:hAnsi="Times New Roman" w:hint="eastAsia"/>
          <w:bCs/>
          <w:kern w:val="2"/>
          <w:sz w:val="20"/>
          <w:szCs w:val="20"/>
        </w:rPr>
        <w:t>s method. Confidence intervals for sensitivity, specificity, PPV, and NPV were calculated using the exact binomial method. Confidence intervals for PLR and NLR were calculated using the log method. Abbreviations: AUROC, area under the receiver operating characteristic curve; CI, confidence interval; Cp, ceruloplasmin; NLR, negative likelihood ratio; non-WD, non-Wilson disease</w:t>
      </w:r>
      <w:r>
        <w:rPr>
          <w:rFonts w:ascii="Times New Roman" w:eastAsia="華康少女文字W5(P)" w:hAnsi="Times New Roman"/>
          <w:bCs/>
          <w:kern w:val="2"/>
          <w:sz w:val="20"/>
          <w:szCs w:val="20"/>
        </w:rPr>
        <w:t xml:space="preserve">; </w:t>
      </w:r>
      <w:r>
        <w:rPr>
          <w:rFonts w:ascii="Times New Roman" w:eastAsia="華康少女文字W5(P)" w:hAnsi="Times New Roman" w:hint="eastAsia"/>
          <w:bCs/>
          <w:kern w:val="2"/>
          <w:sz w:val="20"/>
          <w:szCs w:val="20"/>
        </w:rPr>
        <w:t>NPV, negative predictive value; PLR, positive likelihood ratio; PPV, positive predictive value; UCE, urinary copper excretion; WD, Wilson disease.</w:t>
      </w:r>
    </w:p>
    <w:p w14:paraId="7FB84C03" w14:textId="77777777" w:rsidR="0067415F" w:rsidRDefault="0067415F"/>
    <w:sectPr w:rsidR="0067415F" w:rsidSect="00BF740E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auto"/>
    <w:pitch w:val="default"/>
    <w:sig w:usb0="E0000AFF" w:usb1="00007843" w:usb2="00000001" w:usb3="00000000" w:csb0="400001BF" w:csb1="DFF70000"/>
  </w:font>
  <w:font w:name="華康少女文字W5(P)">
    <w:altName w:val="Microsoft JhengHei"/>
    <w:charset w:val="88"/>
    <w:family w:val="auto"/>
    <w:pitch w:val="default"/>
    <w:sig w:usb0="800002E3" w:usb1="28CFFCFA" w:usb2="00000016" w:usb3="00000000" w:csb0="00100001" w:csb1="00000000"/>
  </w:font>
  <w:font w:name="Times New Roman Bold Italic">
    <w:panose1 w:val="02020703060505090304"/>
    <w:charset w:val="00"/>
    <w:family w:val="auto"/>
    <w:pitch w:val="default"/>
    <w:sig w:usb0="E0000AFF" w:usb1="00007843" w:usb2="00000001" w:usb3="00000000" w:csb0="400001BF" w:csb1="DFF70000"/>
  </w:font>
  <w:font w:name="SimSun">
    <w:altName w:val="??????????¨¬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E1"/>
    <w:rsid w:val="004244E6"/>
    <w:rsid w:val="004878E1"/>
    <w:rsid w:val="0067415F"/>
    <w:rsid w:val="0082376E"/>
    <w:rsid w:val="00BF740E"/>
    <w:rsid w:val="00C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A3CB5-218D-4B8D-9262-B6C1D99A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8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8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8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8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8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8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8E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qFormat/>
    <w:rsid w:val="0082376E"/>
    <w:pPr>
      <w:widowControl w:val="0"/>
      <w:spacing w:beforeAutospacing="1" w:after="0" w:afterAutospacing="1" w:line="240" w:lineRule="auto"/>
    </w:pPr>
    <w:rPr>
      <w:rFonts w:eastAsiaTheme="minorEastAsia" w:cs="Times New Roman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2026-06-18T01:21:00Z</dcterms:created>
  <dcterms:modified xsi:type="dcterms:W3CDTF">2026-06-18T01:22:00Z</dcterms:modified>
</cp:coreProperties>
</file>