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BFB8" w14:textId="77777777" w:rsidR="002752A7" w:rsidRDefault="002752A7" w:rsidP="002752A7">
      <w:pPr>
        <w:pStyle w:val="Heading3"/>
        <w:spacing w:line="360" w:lineRule="auto"/>
        <w:rPr>
          <w:rFonts w:ascii="Times New Roman Bold" w:hAnsi="Times New Roman Bold" w:cs="Times New Roman Bold"/>
          <w:iCs/>
          <w:sz w:val="20"/>
          <w:szCs w:val="20"/>
        </w:rPr>
      </w:pPr>
      <w:r>
        <w:rPr>
          <w:rFonts w:ascii="Times New Roman Bold" w:eastAsia="SimSun" w:hAnsi="Times New Roman Bold" w:cs="Times New Roman Bold"/>
          <w:b/>
          <w:bCs/>
          <w:iCs/>
          <w:sz w:val="20"/>
          <w:szCs w:val="20"/>
        </w:rPr>
        <w:t xml:space="preserve">Supplementary Table </w:t>
      </w:r>
      <w:r>
        <w:rPr>
          <w:rFonts w:ascii="Times New Roman Bold" w:eastAsia="SimSun" w:hAnsi="Times New Roman Bold" w:cs="Times New Roman Bold"/>
          <w:b/>
          <w:bCs/>
          <w:iCs/>
          <w:sz w:val="20"/>
          <w:szCs w:val="20"/>
          <w:lang w:eastAsia="zh-CN"/>
        </w:rPr>
        <w:t>S</w:t>
      </w:r>
      <w:r>
        <w:rPr>
          <w:rFonts w:ascii="Times New Roman Bold" w:hAnsi="Times New Roman Bold" w:cs="Times New Roman Bold"/>
          <w:b/>
          <w:bCs/>
          <w:iCs/>
          <w:sz w:val="20"/>
          <w:szCs w:val="20"/>
          <w:lang w:eastAsia="zh-CN"/>
        </w:rPr>
        <w:t>3</w:t>
      </w:r>
      <w:r>
        <w:rPr>
          <w:rFonts w:ascii="Times New Roman Bold" w:eastAsia="SimSun" w:hAnsi="Times New Roman Bold" w:cs="Times New Roman Bold"/>
          <w:b/>
          <w:bCs/>
          <w:iCs/>
          <w:sz w:val="20"/>
          <w:szCs w:val="20"/>
        </w:rPr>
        <w:t>. Unadjusted and covariate-adjusted AUROC</w:t>
      </w:r>
      <w:r>
        <w:rPr>
          <w:rFonts w:ascii="Times New Roman Bold" w:hAnsi="Times New Roman Bold" w:cs="Times New Roman Bold" w:hint="eastAsia"/>
          <w:b/>
          <w:bCs/>
          <w:iCs/>
          <w:sz w:val="20"/>
          <w:szCs w:val="20"/>
          <w:lang w:eastAsia="zh-CN"/>
        </w:rPr>
        <w:t>s</w:t>
      </w:r>
      <w:r>
        <w:rPr>
          <w:rFonts w:ascii="Times New Roman Bold" w:eastAsia="SimSun" w:hAnsi="Times New Roman Bold" w:cs="Times New Roman Bold"/>
          <w:b/>
          <w:bCs/>
          <w:iCs/>
          <w:sz w:val="20"/>
          <w:szCs w:val="20"/>
        </w:rPr>
        <w:t xml:space="preserve"> for Cp and 24-h UCE</w:t>
      </w:r>
    </w:p>
    <w:tbl>
      <w:tblPr>
        <w:tblW w:w="10960" w:type="dxa"/>
        <w:jc w:val="center"/>
        <w:tblBorders>
          <w:top w:val="none" w:sz="8" w:space="0" w:color="auto"/>
          <w:left w:val="none" w:sz="8" w:space="0" w:color="auto"/>
          <w:bottom w:val="none" w:sz="8" w:space="0" w:color="auto"/>
          <w:right w:val="none" w:sz="8" w:space="0" w:color="auto"/>
          <w:insideH w:val="none" w:sz="6" w:space="0" w:color="auto"/>
          <w:insideV w:val="none" w:sz="6" w:space="0" w:color="auto"/>
        </w:tblBorders>
        <w:tblCellMar>
          <w:top w:w="120" w:type="dxa"/>
          <w:left w:w="120" w:type="dxa"/>
          <w:bottom w:w="120" w:type="dxa"/>
          <w:right w:w="120" w:type="dxa"/>
        </w:tblCellMar>
        <w:tblLook w:val="04A0" w:firstRow="1" w:lastRow="0" w:firstColumn="1" w:lastColumn="0" w:noHBand="0" w:noVBand="1"/>
      </w:tblPr>
      <w:tblGrid>
        <w:gridCol w:w="1318"/>
        <w:gridCol w:w="1397"/>
        <w:gridCol w:w="1709"/>
        <w:gridCol w:w="1397"/>
        <w:gridCol w:w="1709"/>
        <w:gridCol w:w="1514"/>
        <w:gridCol w:w="1916"/>
      </w:tblGrid>
      <w:tr w:rsidR="002752A7" w14:paraId="66AAF722" w14:textId="77777777" w:rsidTr="00C45ED6">
        <w:trPr>
          <w:trHeight w:val="23"/>
          <w:tblHeader/>
          <w:jc w:val="center"/>
        </w:trPr>
        <w:tc>
          <w:tcPr>
            <w:tcW w:w="1318" w:type="dxa"/>
            <w:tcBorders>
              <w:top w:val="single" w:sz="12" w:space="0" w:color="auto"/>
              <w:left w:val="nil"/>
              <w:bottom w:val="nil"/>
              <w:right w:val="nil"/>
            </w:tcBorders>
            <w:tcMar>
              <w:top w:w="160" w:type="dxa"/>
              <w:left w:w="240" w:type="dxa"/>
              <w:bottom w:w="160" w:type="dxa"/>
              <w:right w:w="240" w:type="dxa"/>
            </w:tcMar>
            <w:vAlign w:val="center"/>
          </w:tcPr>
          <w:p w14:paraId="63BFB408"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b/>
                <w:sz w:val="20"/>
                <w:szCs w:val="20"/>
              </w:rPr>
            </w:pPr>
            <w:r>
              <w:rPr>
                <w:rFonts w:ascii="Times New Roman Regular" w:hAnsi="Times New Roman Regular" w:cs="Times New Roman Regular"/>
                <w:b/>
                <w:sz w:val="20"/>
                <w:szCs w:val="20"/>
              </w:rPr>
              <w:t>Marker</w:t>
            </w:r>
          </w:p>
        </w:tc>
        <w:tc>
          <w:tcPr>
            <w:tcW w:w="1397" w:type="dxa"/>
            <w:tcBorders>
              <w:top w:val="single" w:sz="12" w:space="0" w:color="auto"/>
              <w:left w:val="nil"/>
              <w:bottom w:val="nil"/>
              <w:right w:val="nil"/>
            </w:tcBorders>
            <w:tcMar>
              <w:top w:w="160" w:type="dxa"/>
              <w:left w:w="240" w:type="dxa"/>
              <w:bottom w:w="160" w:type="dxa"/>
              <w:right w:w="240" w:type="dxa"/>
            </w:tcMar>
            <w:vAlign w:val="center"/>
          </w:tcPr>
          <w:p w14:paraId="4C6A8DF8"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b/>
                <w:sz w:val="20"/>
                <w:szCs w:val="20"/>
              </w:rPr>
            </w:pPr>
            <w:r>
              <w:rPr>
                <w:rFonts w:ascii="Times New Roman Regular" w:hAnsi="Times New Roman Regular" w:cs="Times New Roman Regular"/>
                <w:b/>
                <w:sz w:val="20"/>
                <w:szCs w:val="20"/>
              </w:rPr>
              <w:t>Model 1 AUROC</w:t>
            </w:r>
          </w:p>
        </w:tc>
        <w:tc>
          <w:tcPr>
            <w:tcW w:w="1709" w:type="dxa"/>
            <w:tcBorders>
              <w:top w:val="single" w:sz="12" w:space="0" w:color="auto"/>
              <w:left w:val="nil"/>
              <w:bottom w:val="nil"/>
              <w:right w:val="nil"/>
            </w:tcBorders>
            <w:tcMar>
              <w:top w:w="160" w:type="dxa"/>
              <w:left w:w="240" w:type="dxa"/>
              <w:bottom w:w="160" w:type="dxa"/>
              <w:right w:w="240" w:type="dxa"/>
            </w:tcMar>
            <w:vAlign w:val="center"/>
          </w:tcPr>
          <w:p w14:paraId="2ED52E9F"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b/>
                <w:sz w:val="20"/>
                <w:szCs w:val="20"/>
              </w:rPr>
            </w:pPr>
            <w:r>
              <w:rPr>
                <w:rFonts w:ascii="Times New Roman Regular" w:hAnsi="Times New Roman Regular" w:cs="Times New Roman Regular"/>
                <w:b/>
                <w:sz w:val="20"/>
                <w:szCs w:val="20"/>
              </w:rPr>
              <w:t>95% CI</w:t>
            </w:r>
          </w:p>
        </w:tc>
        <w:tc>
          <w:tcPr>
            <w:tcW w:w="1397" w:type="dxa"/>
            <w:tcBorders>
              <w:top w:val="single" w:sz="12" w:space="0" w:color="auto"/>
              <w:left w:val="nil"/>
              <w:bottom w:val="nil"/>
              <w:right w:val="nil"/>
            </w:tcBorders>
            <w:tcMar>
              <w:top w:w="160" w:type="dxa"/>
              <w:left w:w="240" w:type="dxa"/>
              <w:bottom w:w="160" w:type="dxa"/>
              <w:right w:w="240" w:type="dxa"/>
            </w:tcMar>
            <w:vAlign w:val="center"/>
          </w:tcPr>
          <w:p w14:paraId="436A6733"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b/>
                <w:sz w:val="20"/>
                <w:szCs w:val="20"/>
              </w:rPr>
            </w:pPr>
            <w:r>
              <w:rPr>
                <w:rFonts w:ascii="Times New Roman Regular" w:hAnsi="Times New Roman Regular" w:cs="Times New Roman Regular"/>
                <w:b/>
                <w:sz w:val="20"/>
                <w:szCs w:val="20"/>
              </w:rPr>
              <w:t>Model 2 AUROC</w:t>
            </w:r>
          </w:p>
        </w:tc>
        <w:tc>
          <w:tcPr>
            <w:tcW w:w="1709" w:type="dxa"/>
            <w:tcBorders>
              <w:top w:val="single" w:sz="12" w:space="0" w:color="auto"/>
              <w:left w:val="nil"/>
              <w:bottom w:val="nil"/>
              <w:right w:val="nil"/>
            </w:tcBorders>
            <w:tcMar>
              <w:top w:w="160" w:type="dxa"/>
              <w:left w:w="240" w:type="dxa"/>
              <w:bottom w:w="160" w:type="dxa"/>
              <w:right w:w="240" w:type="dxa"/>
            </w:tcMar>
            <w:vAlign w:val="center"/>
          </w:tcPr>
          <w:p w14:paraId="6405D668"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b/>
                <w:sz w:val="20"/>
                <w:szCs w:val="20"/>
              </w:rPr>
            </w:pPr>
            <w:r>
              <w:rPr>
                <w:rFonts w:ascii="Times New Roman Regular" w:hAnsi="Times New Roman Regular" w:cs="Times New Roman Regular"/>
                <w:b/>
                <w:sz w:val="20"/>
                <w:szCs w:val="20"/>
              </w:rPr>
              <w:t>95% CI</w:t>
            </w:r>
          </w:p>
        </w:tc>
        <w:tc>
          <w:tcPr>
            <w:tcW w:w="1514" w:type="dxa"/>
            <w:tcBorders>
              <w:top w:val="single" w:sz="12" w:space="0" w:color="auto"/>
              <w:left w:val="nil"/>
              <w:bottom w:val="nil"/>
              <w:right w:val="nil"/>
            </w:tcBorders>
            <w:tcMar>
              <w:top w:w="160" w:type="dxa"/>
              <w:left w:w="240" w:type="dxa"/>
              <w:bottom w:w="160" w:type="dxa"/>
              <w:right w:w="240" w:type="dxa"/>
            </w:tcMar>
            <w:vAlign w:val="center"/>
          </w:tcPr>
          <w:p w14:paraId="4EFF4D8A"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b/>
                <w:sz w:val="20"/>
                <w:szCs w:val="20"/>
              </w:rPr>
            </w:pPr>
            <w:r>
              <w:rPr>
                <w:rFonts w:ascii="Times New Roman Regular" w:hAnsi="Times New Roman Regular" w:cs="Times New Roman Regular"/>
                <w:b/>
                <w:sz w:val="20"/>
                <w:szCs w:val="20"/>
              </w:rPr>
              <w:t>Model 3 AUROC</w:t>
            </w:r>
          </w:p>
        </w:tc>
        <w:tc>
          <w:tcPr>
            <w:tcW w:w="1916" w:type="dxa"/>
            <w:tcBorders>
              <w:top w:val="single" w:sz="12" w:space="0" w:color="auto"/>
              <w:left w:val="nil"/>
              <w:bottom w:val="nil"/>
              <w:right w:val="nil"/>
            </w:tcBorders>
            <w:tcMar>
              <w:top w:w="160" w:type="dxa"/>
              <w:left w:w="240" w:type="dxa"/>
              <w:bottom w:w="160" w:type="dxa"/>
              <w:right w:w="240" w:type="dxa"/>
            </w:tcMar>
            <w:vAlign w:val="center"/>
          </w:tcPr>
          <w:p w14:paraId="334E8758"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b/>
                <w:sz w:val="20"/>
                <w:szCs w:val="20"/>
              </w:rPr>
            </w:pPr>
            <w:r>
              <w:rPr>
                <w:rFonts w:ascii="Times New Roman Regular" w:hAnsi="Times New Roman Regular" w:cs="Times New Roman Regular"/>
                <w:b/>
                <w:sz w:val="20"/>
                <w:szCs w:val="20"/>
              </w:rPr>
              <w:t>95% CI</w:t>
            </w:r>
          </w:p>
        </w:tc>
      </w:tr>
      <w:tr w:rsidR="002752A7" w14:paraId="5301DE73" w14:textId="77777777" w:rsidTr="00C45ED6">
        <w:trPr>
          <w:trHeight w:val="23"/>
          <w:jc w:val="center"/>
        </w:trPr>
        <w:tc>
          <w:tcPr>
            <w:tcW w:w="1318" w:type="dxa"/>
            <w:tcBorders>
              <w:top w:val="single" w:sz="4" w:space="0" w:color="auto"/>
              <w:left w:val="nil"/>
              <w:bottom w:val="nil"/>
              <w:right w:val="nil"/>
            </w:tcBorders>
            <w:tcMar>
              <w:top w:w="160" w:type="dxa"/>
              <w:left w:w="240" w:type="dxa"/>
              <w:bottom w:w="160" w:type="dxa"/>
              <w:right w:w="240" w:type="dxa"/>
            </w:tcMar>
            <w:vAlign w:val="center"/>
          </w:tcPr>
          <w:p w14:paraId="47D7CE15"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Cp</w:t>
            </w:r>
          </w:p>
        </w:tc>
        <w:tc>
          <w:tcPr>
            <w:tcW w:w="1397" w:type="dxa"/>
            <w:tcBorders>
              <w:top w:val="single" w:sz="4" w:space="0" w:color="auto"/>
              <w:left w:val="nil"/>
              <w:bottom w:val="nil"/>
              <w:right w:val="nil"/>
            </w:tcBorders>
            <w:tcMar>
              <w:top w:w="160" w:type="dxa"/>
              <w:left w:w="240" w:type="dxa"/>
              <w:bottom w:w="160" w:type="dxa"/>
              <w:right w:w="240" w:type="dxa"/>
            </w:tcMar>
            <w:vAlign w:val="center"/>
          </w:tcPr>
          <w:p w14:paraId="3D09E9B3"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0.988</w:t>
            </w:r>
          </w:p>
        </w:tc>
        <w:tc>
          <w:tcPr>
            <w:tcW w:w="1709" w:type="dxa"/>
            <w:tcBorders>
              <w:top w:val="single" w:sz="4" w:space="0" w:color="auto"/>
              <w:left w:val="nil"/>
              <w:bottom w:val="nil"/>
              <w:right w:val="nil"/>
            </w:tcBorders>
            <w:tcMar>
              <w:top w:w="160" w:type="dxa"/>
              <w:left w:w="240" w:type="dxa"/>
              <w:bottom w:w="160" w:type="dxa"/>
              <w:right w:w="240" w:type="dxa"/>
            </w:tcMar>
            <w:vAlign w:val="center"/>
          </w:tcPr>
          <w:p w14:paraId="40574B59"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0.976–0.997</w:t>
            </w:r>
          </w:p>
        </w:tc>
        <w:tc>
          <w:tcPr>
            <w:tcW w:w="1397" w:type="dxa"/>
            <w:tcBorders>
              <w:top w:val="single" w:sz="4" w:space="0" w:color="auto"/>
              <w:left w:val="nil"/>
              <w:bottom w:val="nil"/>
              <w:right w:val="nil"/>
            </w:tcBorders>
            <w:tcMar>
              <w:top w:w="160" w:type="dxa"/>
              <w:left w:w="240" w:type="dxa"/>
              <w:bottom w:w="160" w:type="dxa"/>
              <w:right w:w="240" w:type="dxa"/>
            </w:tcMar>
            <w:vAlign w:val="center"/>
          </w:tcPr>
          <w:p w14:paraId="6FF26E92"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0.989</w:t>
            </w:r>
          </w:p>
        </w:tc>
        <w:tc>
          <w:tcPr>
            <w:tcW w:w="1709" w:type="dxa"/>
            <w:tcBorders>
              <w:top w:val="single" w:sz="4" w:space="0" w:color="auto"/>
              <w:left w:val="nil"/>
              <w:bottom w:val="nil"/>
              <w:right w:val="nil"/>
            </w:tcBorders>
            <w:tcMar>
              <w:top w:w="160" w:type="dxa"/>
              <w:left w:w="240" w:type="dxa"/>
              <w:bottom w:w="160" w:type="dxa"/>
              <w:right w:w="240" w:type="dxa"/>
            </w:tcMar>
            <w:vAlign w:val="center"/>
          </w:tcPr>
          <w:p w14:paraId="4288BDB1"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0.976–0.999</w:t>
            </w:r>
          </w:p>
        </w:tc>
        <w:tc>
          <w:tcPr>
            <w:tcW w:w="1514" w:type="dxa"/>
            <w:tcBorders>
              <w:top w:val="single" w:sz="4" w:space="0" w:color="auto"/>
              <w:left w:val="nil"/>
              <w:bottom w:val="nil"/>
              <w:right w:val="nil"/>
            </w:tcBorders>
            <w:tcMar>
              <w:top w:w="160" w:type="dxa"/>
              <w:left w:w="240" w:type="dxa"/>
              <w:bottom w:w="160" w:type="dxa"/>
              <w:right w:w="240" w:type="dxa"/>
            </w:tcMar>
            <w:vAlign w:val="center"/>
          </w:tcPr>
          <w:p w14:paraId="12E20373"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0.992</w:t>
            </w:r>
          </w:p>
        </w:tc>
        <w:tc>
          <w:tcPr>
            <w:tcW w:w="1916" w:type="dxa"/>
            <w:tcBorders>
              <w:top w:val="single" w:sz="4" w:space="0" w:color="auto"/>
              <w:left w:val="nil"/>
              <w:bottom w:val="nil"/>
              <w:right w:val="nil"/>
            </w:tcBorders>
            <w:tcMar>
              <w:top w:w="160" w:type="dxa"/>
              <w:left w:w="240" w:type="dxa"/>
              <w:bottom w:w="160" w:type="dxa"/>
              <w:right w:w="240" w:type="dxa"/>
            </w:tcMar>
            <w:vAlign w:val="center"/>
          </w:tcPr>
          <w:p w14:paraId="03AB0595"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0.983–0.999</w:t>
            </w:r>
          </w:p>
        </w:tc>
      </w:tr>
      <w:tr w:rsidR="002752A7" w14:paraId="3027CA23" w14:textId="77777777" w:rsidTr="00C45ED6">
        <w:trPr>
          <w:trHeight w:val="23"/>
          <w:jc w:val="center"/>
        </w:trPr>
        <w:tc>
          <w:tcPr>
            <w:tcW w:w="1318" w:type="dxa"/>
            <w:tcBorders>
              <w:top w:val="nil"/>
              <w:left w:val="nil"/>
              <w:bottom w:val="single" w:sz="12" w:space="0" w:color="auto"/>
              <w:right w:val="nil"/>
            </w:tcBorders>
            <w:tcMar>
              <w:top w:w="160" w:type="dxa"/>
              <w:left w:w="240" w:type="dxa"/>
              <w:bottom w:w="160" w:type="dxa"/>
              <w:right w:w="240" w:type="dxa"/>
            </w:tcMar>
            <w:vAlign w:val="center"/>
          </w:tcPr>
          <w:p w14:paraId="09BFB9E6"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24-h UCE</w:t>
            </w:r>
          </w:p>
        </w:tc>
        <w:tc>
          <w:tcPr>
            <w:tcW w:w="1397" w:type="dxa"/>
            <w:tcBorders>
              <w:top w:val="nil"/>
              <w:left w:val="nil"/>
              <w:bottom w:val="single" w:sz="12" w:space="0" w:color="auto"/>
              <w:right w:val="nil"/>
            </w:tcBorders>
            <w:tcMar>
              <w:top w:w="160" w:type="dxa"/>
              <w:left w:w="240" w:type="dxa"/>
              <w:bottom w:w="160" w:type="dxa"/>
              <w:right w:w="240" w:type="dxa"/>
            </w:tcMar>
            <w:vAlign w:val="center"/>
          </w:tcPr>
          <w:p w14:paraId="1B4B510C"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0.762</w:t>
            </w:r>
          </w:p>
        </w:tc>
        <w:tc>
          <w:tcPr>
            <w:tcW w:w="1709" w:type="dxa"/>
            <w:tcBorders>
              <w:top w:val="nil"/>
              <w:left w:val="nil"/>
              <w:bottom w:val="single" w:sz="12" w:space="0" w:color="auto"/>
              <w:right w:val="nil"/>
            </w:tcBorders>
            <w:tcMar>
              <w:top w:w="160" w:type="dxa"/>
              <w:left w:w="240" w:type="dxa"/>
              <w:bottom w:w="160" w:type="dxa"/>
              <w:right w:w="240" w:type="dxa"/>
            </w:tcMar>
            <w:vAlign w:val="center"/>
          </w:tcPr>
          <w:p w14:paraId="3370FE72"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0.693–0.828</w:t>
            </w:r>
          </w:p>
        </w:tc>
        <w:tc>
          <w:tcPr>
            <w:tcW w:w="1397" w:type="dxa"/>
            <w:tcBorders>
              <w:top w:val="nil"/>
              <w:left w:val="nil"/>
              <w:bottom w:val="single" w:sz="12" w:space="0" w:color="auto"/>
              <w:right w:val="nil"/>
            </w:tcBorders>
            <w:tcMar>
              <w:top w:w="160" w:type="dxa"/>
              <w:left w:w="240" w:type="dxa"/>
              <w:bottom w:w="160" w:type="dxa"/>
              <w:right w:w="240" w:type="dxa"/>
            </w:tcMar>
            <w:vAlign w:val="center"/>
          </w:tcPr>
          <w:p w14:paraId="10DE2107"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0.930</w:t>
            </w:r>
          </w:p>
        </w:tc>
        <w:tc>
          <w:tcPr>
            <w:tcW w:w="1709" w:type="dxa"/>
            <w:tcBorders>
              <w:top w:val="nil"/>
              <w:left w:val="nil"/>
              <w:bottom w:val="single" w:sz="12" w:space="0" w:color="auto"/>
              <w:right w:val="nil"/>
            </w:tcBorders>
            <w:tcMar>
              <w:top w:w="160" w:type="dxa"/>
              <w:left w:w="240" w:type="dxa"/>
              <w:bottom w:w="160" w:type="dxa"/>
              <w:right w:w="240" w:type="dxa"/>
            </w:tcMar>
            <w:vAlign w:val="center"/>
          </w:tcPr>
          <w:p w14:paraId="34A5B334"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0.895–0.957</w:t>
            </w:r>
          </w:p>
        </w:tc>
        <w:tc>
          <w:tcPr>
            <w:tcW w:w="1514" w:type="dxa"/>
            <w:tcBorders>
              <w:top w:val="nil"/>
              <w:left w:val="nil"/>
              <w:bottom w:val="single" w:sz="12" w:space="0" w:color="auto"/>
              <w:right w:val="nil"/>
            </w:tcBorders>
            <w:tcMar>
              <w:top w:w="160" w:type="dxa"/>
              <w:left w:w="240" w:type="dxa"/>
              <w:bottom w:w="160" w:type="dxa"/>
              <w:right w:w="240" w:type="dxa"/>
            </w:tcMar>
            <w:vAlign w:val="center"/>
          </w:tcPr>
          <w:p w14:paraId="53D8AB6E"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0.950</w:t>
            </w:r>
          </w:p>
        </w:tc>
        <w:tc>
          <w:tcPr>
            <w:tcW w:w="1916" w:type="dxa"/>
            <w:tcBorders>
              <w:top w:val="nil"/>
              <w:left w:val="nil"/>
              <w:bottom w:val="single" w:sz="12" w:space="0" w:color="auto"/>
              <w:right w:val="nil"/>
            </w:tcBorders>
            <w:tcMar>
              <w:top w:w="160" w:type="dxa"/>
              <w:left w:w="240" w:type="dxa"/>
              <w:bottom w:w="160" w:type="dxa"/>
              <w:right w:w="240" w:type="dxa"/>
            </w:tcMar>
            <w:vAlign w:val="center"/>
          </w:tcPr>
          <w:p w14:paraId="3A357720" w14:textId="77777777" w:rsidR="002752A7" w:rsidRDefault="002752A7" w:rsidP="00C45ED6">
            <w:pPr>
              <w:pStyle w:val="NormalWeb"/>
              <w:snapToGrid w:val="0"/>
              <w:spacing w:beforeAutospacing="0" w:afterAutospacing="0" w:line="36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0.920–0.973</w:t>
            </w:r>
          </w:p>
        </w:tc>
      </w:tr>
    </w:tbl>
    <w:p w14:paraId="01826D72" w14:textId="77777777" w:rsidR="002752A7" w:rsidRDefault="002752A7" w:rsidP="002752A7">
      <w:pPr>
        <w:spacing w:line="360" w:lineRule="auto"/>
        <w:rPr>
          <w:rFonts w:ascii="Times New Roman Regular" w:eastAsia="Songti SC" w:hAnsi="Times New Roman Regular" w:cs="Times New Roman Regular"/>
          <w:sz w:val="20"/>
          <w:szCs w:val="20"/>
        </w:rPr>
      </w:pPr>
      <w:r>
        <w:rPr>
          <w:rFonts w:ascii="Times New Roman Regular" w:eastAsia="Songti SC" w:hAnsi="Times New Roman Regular" w:cs="Times New Roman Regular"/>
          <w:b/>
          <w:bCs/>
          <w:sz w:val="20"/>
          <w:szCs w:val="20"/>
        </w:rPr>
        <w:t>Footnote:</w:t>
      </w:r>
      <w:r>
        <w:rPr>
          <w:rFonts w:ascii="Times New Roman Regular" w:eastAsia="Songti SC" w:hAnsi="Times New Roman Regular" w:cs="Times New Roman Regular"/>
          <w:sz w:val="20"/>
          <w:szCs w:val="20"/>
        </w:rPr>
        <w:t xml:space="preserve"> </w:t>
      </w:r>
      <w:r>
        <w:rPr>
          <w:rFonts w:ascii="Times New Roman Regular" w:eastAsia="Songti SC" w:hAnsi="Times New Roman Regular" w:cs="Times New Roman Regular"/>
          <w:b/>
          <w:bCs/>
          <w:sz w:val="20"/>
          <w:szCs w:val="20"/>
        </w:rPr>
        <w:t xml:space="preserve">Model 1 </w:t>
      </w:r>
      <w:r>
        <w:rPr>
          <w:rFonts w:ascii="Times New Roman Regular" w:eastAsia="Songti SC" w:hAnsi="Times New Roman Regular" w:cs="Times New Roman Regular"/>
          <w:sz w:val="20"/>
          <w:szCs w:val="20"/>
        </w:rPr>
        <w:t xml:space="preserve">was unadjusted and included Cp or 24-h UCE alone. </w:t>
      </w:r>
      <w:r>
        <w:rPr>
          <w:rFonts w:ascii="Times New Roman Regular" w:eastAsia="Songti SC" w:hAnsi="Times New Roman Regular" w:cs="Times New Roman Regular"/>
          <w:b/>
          <w:bCs/>
          <w:sz w:val="20"/>
          <w:szCs w:val="20"/>
        </w:rPr>
        <w:t>Model 2</w:t>
      </w:r>
      <w:r>
        <w:rPr>
          <w:rFonts w:ascii="Times New Roman Regular" w:eastAsia="Songti SC" w:hAnsi="Times New Roman Regular" w:cs="Times New Roman Regular"/>
          <w:sz w:val="20"/>
          <w:szCs w:val="20"/>
        </w:rPr>
        <w:t xml:space="preserve"> was adjusted for age, total bilirubin, INR, and albumin. </w:t>
      </w:r>
      <w:r>
        <w:rPr>
          <w:rFonts w:ascii="Times New Roman Regular" w:eastAsia="Songti SC" w:hAnsi="Times New Roman Regular" w:cs="Times New Roman Regular"/>
          <w:b/>
          <w:bCs/>
          <w:sz w:val="20"/>
          <w:szCs w:val="20"/>
        </w:rPr>
        <w:t>Model 3</w:t>
      </w:r>
      <w:r>
        <w:rPr>
          <w:rFonts w:ascii="Times New Roman Regular" w:eastAsia="Songti SC" w:hAnsi="Times New Roman Regular" w:cs="Times New Roman Regular"/>
          <w:sz w:val="20"/>
          <w:szCs w:val="20"/>
        </w:rPr>
        <w:t xml:space="preserve"> was an extended liver-injury adjusted model including age, ALT, AST, ALP, GGT, total bilirubin, INR, and albumin. Adjusted AUROCs were generated from predicted probabilities derived from logistic regression models with final WD status as the dependent variable. AUROC 95% CIs were estimated using DeLong’s method. Abbreviations: 24-h UCE, 24-hour urinary copper excretion; ALP, alkaline phosphatase; ALT, alanine aminotransferase; AST, aspartate aminotransferase; AUROC, area under the receiver operating characteristic curve; CI, confidence interval; Cp, ceruloplasmin; GGT, gamma-glutamyl transferase; INR, international normalized ratio; WD, Wilson disease.</w:t>
      </w:r>
    </w:p>
    <w:p w14:paraId="5345A497" w14:textId="77777777" w:rsidR="0067415F" w:rsidRDefault="0067415F"/>
    <w:sectPr w:rsidR="006741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SimSun">
    <w:altName w:val="??????????¨¬?????"/>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E0000AFF" w:usb1="00007843" w:usb2="00000001" w:usb3="00000000" w:csb0="400001BF" w:csb1="DFF70000"/>
  </w:font>
  <w:font w:name="Songti SC">
    <w:altName w:val="Microsoft YaHei"/>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D3"/>
    <w:rsid w:val="002752A7"/>
    <w:rsid w:val="004244E6"/>
    <w:rsid w:val="0067415F"/>
    <w:rsid w:val="00C761D3"/>
    <w:rsid w:val="00CE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82EBE-664D-4518-B82D-13CB29A3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6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761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61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61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6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1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61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C761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61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61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6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1D3"/>
    <w:rPr>
      <w:rFonts w:eastAsiaTheme="majorEastAsia" w:cstheme="majorBidi"/>
      <w:color w:val="272727" w:themeColor="text1" w:themeTint="D8"/>
    </w:rPr>
  </w:style>
  <w:style w:type="paragraph" w:styleId="Title">
    <w:name w:val="Title"/>
    <w:basedOn w:val="Normal"/>
    <w:next w:val="Normal"/>
    <w:link w:val="TitleChar"/>
    <w:uiPriority w:val="10"/>
    <w:qFormat/>
    <w:rsid w:val="00C76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1D3"/>
    <w:pPr>
      <w:spacing w:before="160"/>
      <w:jc w:val="center"/>
    </w:pPr>
    <w:rPr>
      <w:i/>
      <w:iCs/>
      <w:color w:val="404040" w:themeColor="text1" w:themeTint="BF"/>
    </w:rPr>
  </w:style>
  <w:style w:type="character" w:customStyle="1" w:styleId="QuoteChar">
    <w:name w:val="Quote Char"/>
    <w:basedOn w:val="DefaultParagraphFont"/>
    <w:link w:val="Quote"/>
    <w:uiPriority w:val="29"/>
    <w:rsid w:val="00C761D3"/>
    <w:rPr>
      <w:i/>
      <w:iCs/>
      <w:color w:val="404040" w:themeColor="text1" w:themeTint="BF"/>
    </w:rPr>
  </w:style>
  <w:style w:type="paragraph" w:styleId="ListParagraph">
    <w:name w:val="List Paragraph"/>
    <w:basedOn w:val="Normal"/>
    <w:uiPriority w:val="34"/>
    <w:qFormat/>
    <w:rsid w:val="00C761D3"/>
    <w:pPr>
      <w:ind w:left="720"/>
      <w:contextualSpacing/>
    </w:pPr>
  </w:style>
  <w:style w:type="character" w:styleId="IntenseEmphasis">
    <w:name w:val="Intense Emphasis"/>
    <w:basedOn w:val="DefaultParagraphFont"/>
    <w:uiPriority w:val="21"/>
    <w:qFormat/>
    <w:rsid w:val="00C761D3"/>
    <w:rPr>
      <w:i/>
      <w:iCs/>
      <w:color w:val="2F5496" w:themeColor="accent1" w:themeShade="BF"/>
    </w:rPr>
  </w:style>
  <w:style w:type="paragraph" w:styleId="IntenseQuote">
    <w:name w:val="Intense Quote"/>
    <w:basedOn w:val="Normal"/>
    <w:next w:val="Normal"/>
    <w:link w:val="IntenseQuoteChar"/>
    <w:uiPriority w:val="30"/>
    <w:qFormat/>
    <w:rsid w:val="00C76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61D3"/>
    <w:rPr>
      <w:i/>
      <w:iCs/>
      <w:color w:val="2F5496" w:themeColor="accent1" w:themeShade="BF"/>
    </w:rPr>
  </w:style>
  <w:style w:type="character" w:styleId="IntenseReference">
    <w:name w:val="Intense Reference"/>
    <w:basedOn w:val="DefaultParagraphFont"/>
    <w:uiPriority w:val="32"/>
    <w:qFormat/>
    <w:rsid w:val="00C761D3"/>
    <w:rPr>
      <w:b/>
      <w:bCs/>
      <w:smallCaps/>
      <w:color w:val="2F5496" w:themeColor="accent1" w:themeShade="BF"/>
      <w:spacing w:val="5"/>
    </w:rPr>
  </w:style>
  <w:style w:type="paragraph" w:styleId="NormalWeb">
    <w:name w:val="Normal (Web)"/>
    <w:basedOn w:val="Normal"/>
    <w:qFormat/>
    <w:rsid w:val="002752A7"/>
    <w:pPr>
      <w:widowControl w:val="0"/>
      <w:spacing w:beforeAutospacing="1" w:after="0" w:afterAutospacing="1" w:line="240" w:lineRule="auto"/>
    </w:pPr>
    <w:rPr>
      <w:rFonts w:eastAsiaTheme="minorEastAsia" w:cs="Times New Roman"/>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2026-06-18T01:21:00Z</dcterms:created>
  <dcterms:modified xsi:type="dcterms:W3CDTF">2026-06-18T01:21:00Z</dcterms:modified>
</cp:coreProperties>
</file>