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852C" w14:textId="77777777" w:rsidR="00351328" w:rsidRDefault="00351328" w:rsidP="00351328">
      <w:pPr>
        <w:spacing w:line="360" w:lineRule="auto"/>
        <w:rPr>
          <w:rFonts w:ascii="Times New Roman Regular" w:eastAsia="華康少女文字W5(P)" w:hAnsi="Times New Roman Regular" w:cs="Times New Roman Regular"/>
          <w:b/>
          <w:bCs/>
          <w:sz w:val="20"/>
          <w:szCs w:val="20"/>
        </w:rPr>
      </w:pPr>
      <w:r>
        <w:rPr>
          <w:rFonts w:ascii="Times New Roman Bold" w:eastAsia="華康少女文字W5(P)" w:hAnsi="Times New Roman Bold" w:cs="Times New Roman Bold"/>
          <w:b/>
          <w:sz w:val="20"/>
          <w:szCs w:val="20"/>
          <w:lang w:eastAsia="zh-CN"/>
        </w:rPr>
        <w:t>Supplementary Table S2. Etiologic composition of the non-WD control group</w:t>
      </w:r>
      <w:r>
        <w:rPr>
          <w:rFonts w:ascii="Times New Roman Regular" w:eastAsia="華康少女文字W5(P)" w:hAnsi="Times New Roman Regular" w:cs="Times New Roman Regular"/>
          <w:b/>
          <w:bCs/>
          <w:sz w:val="20"/>
          <w:szCs w:val="20"/>
          <w:lang w:eastAsia="zh-CN"/>
        </w:rPr>
        <w:t xml:space="preserve"> </w:t>
      </w:r>
    </w:p>
    <w:tbl>
      <w:tblPr>
        <w:tblW w:w="5575" w:type="pct"/>
        <w:jc w:val="center"/>
        <w:tblBorders>
          <w:top w:val="none" w:sz="8" w:space="0" w:color="auto"/>
          <w:left w:val="none" w:sz="8" w:space="0" w:color="auto"/>
          <w:bottom w:val="none" w:sz="8" w:space="0" w:color="auto"/>
          <w:right w:val="none" w:sz="8" w:space="0" w:color="auto"/>
          <w:insideH w:val="none" w:sz="6" w:space="0" w:color="auto"/>
          <w:insideV w:val="none" w:sz="6" w:space="0" w:color="auto"/>
        </w:tblBorders>
        <w:tblCellMar>
          <w:top w:w="120" w:type="dxa"/>
          <w:left w:w="120" w:type="dxa"/>
          <w:bottom w:w="120" w:type="dxa"/>
          <w:right w:w="120" w:type="dxa"/>
        </w:tblCellMar>
        <w:tblLook w:val="04A0" w:firstRow="1" w:lastRow="0" w:firstColumn="1" w:lastColumn="0" w:noHBand="0" w:noVBand="1"/>
      </w:tblPr>
      <w:tblGrid>
        <w:gridCol w:w="3297"/>
        <w:gridCol w:w="4561"/>
        <w:gridCol w:w="2578"/>
      </w:tblGrid>
      <w:tr w:rsidR="00351328" w14:paraId="0AEFB705" w14:textId="77777777" w:rsidTr="00C45ED6">
        <w:trPr>
          <w:trHeight w:val="996"/>
          <w:tblHeader/>
          <w:jc w:val="center"/>
        </w:trPr>
        <w:tc>
          <w:tcPr>
            <w:tcW w:w="1579" w:type="pct"/>
            <w:tcBorders>
              <w:top w:val="single" w:sz="12" w:space="0" w:color="auto"/>
              <w:left w:val="nil"/>
              <w:bottom w:val="nil"/>
              <w:right w:val="nil"/>
            </w:tcBorders>
            <w:tcMar>
              <w:top w:w="160" w:type="dxa"/>
              <w:left w:w="240" w:type="dxa"/>
              <w:bottom w:w="160" w:type="dxa"/>
              <w:right w:w="240" w:type="dxa"/>
            </w:tcMar>
            <w:vAlign w:val="center"/>
          </w:tcPr>
          <w:p w14:paraId="2332DC60" w14:textId="77777777" w:rsidR="00351328" w:rsidRDefault="00351328" w:rsidP="00C45ED6">
            <w:pPr>
              <w:spacing w:line="360" w:lineRule="auto"/>
              <w:jc w:val="center"/>
              <w:rPr>
                <w:rFonts w:ascii="Times New Roman Bold" w:eastAsia="華康少女文字W5(P)" w:hAnsi="Times New Roman Bold" w:cs="Times New Roman Bold"/>
                <w:b/>
                <w:sz w:val="20"/>
                <w:szCs w:val="20"/>
              </w:rPr>
            </w:pPr>
            <w:r>
              <w:rPr>
                <w:rFonts w:ascii="Times New Roman Bold" w:eastAsia="華康少女文字W5(P)" w:hAnsi="Times New Roman Bold" w:cs="Times New Roman Bold"/>
                <w:b/>
                <w:sz w:val="20"/>
                <w:szCs w:val="20"/>
                <w:lang w:eastAsia="zh-CN"/>
              </w:rPr>
              <w:t>Etiologic category</w:t>
            </w:r>
          </w:p>
        </w:tc>
        <w:tc>
          <w:tcPr>
            <w:tcW w:w="2184" w:type="pct"/>
            <w:tcBorders>
              <w:top w:val="single" w:sz="12" w:space="0" w:color="auto"/>
              <w:left w:val="nil"/>
              <w:bottom w:val="nil"/>
              <w:right w:val="nil"/>
            </w:tcBorders>
            <w:tcMar>
              <w:top w:w="160" w:type="dxa"/>
              <w:left w:w="240" w:type="dxa"/>
              <w:bottom w:w="160" w:type="dxa"/>
              <w:right w:w="240" w:type="dxa"/>
            </w:tcMar>
            <w:vAlign w:val="center"/>
          </w:tcPr>
          <w:p w14:paraId="713D1E39" w14:textId="77777777" w:rsidR="00351328" w:rsidRDefault="00351328" w:rsidP="00C45ED6">
            <w:pPr>
              <w:spacing w:line="360" w:lineRule="auto"/>
              <w:jc w:val="center"/>
              <w:rPr>
                <w:rFonts w:ascii="Times New Roman Bold" w:eastAsia="華康少女文字W5(P)" w:hAnsi="Times New Roman Bold" w:cs="Times New Roman Bold"/>
                <w:b/>
                <w:sz w:val="20"/>
                <w:szCs w:val="20"/>
              </w:rPr>
            </w:pPr>
            <w:r>
              <w:rPr>
                <w:rFonts w:ascii="Times New Roman Bold" w:eastAsia="華康少女文字W5(P)" w:hAnsi="Times New Roman Bold" w:cs="Times New Roman Bold"/>
                <w:b/>
                <w:sz w:val="20"/>
                <w:szCs w:val="20"/>
                <w:lang w:eastAsia="zh-CN"/>
              </w:rPr>
              <w:t>Representative diagnoses</w:t>
            </w:r>
          </w:p>
        </w:tc>
        <w:tc>
          <w:tcPr>
            <w:tcW w:w="1235" w:type="pct"/>
            <w:tcBorders>
              <w:top w:val="single" w:sz="12" w:space="0" w:color="auto"/>
              <w:left w:val="nil"/>
              <w:bottom w:val="nil"/>
              <w:right w:val="nil"/>
            </w:tcBorders>
            <w:tcMar>
              <w:top w:w="160" w:type="dxa"/>
              <w:left w:w="240" w:type="dxa"/>
              <w:bottom w:w="160" w:type="dxa"/>
              <w:right w:w="240" w:type="dxa"/>
            </w:tcMar>
            <w:vAlign w:val="center"/>
          </w:tcPr>
          <w:p w14:paraId="50BD5842" w14:textId="77777777" w:rsidR="00351328" w:rsidRDefault="00351328" w:rsidP="00C45ED6">
            <w:pPr>
              <w:spacing w:line="360" w:lineRule="auto"/>
              <w:jc w:val="center"/>
              <w:rPr>
                <w:rFonts w:ascii="Times New Roman Bold" w:hAnsi="Times New Roman Bold" w:cs="Times New Roman Bold"/>
                <w:b/>
                <w:sz w:val="20"/>
                <w:szCs w:val="20"/>
              </w:rPr>
            </w:pPr>
            <w:r>
              <w:rPr>
                <w:rFonts w:ascii="Times New Roman Bold" w:eastAsia="華康少女文字W5(P)" w:hAnsi="Times New Roman Bold" w:cs="Times New Roman Bold"/>
                <w:b/>
                <w:sz w:val="20"/>
                <w:szCs w:val="20"/>
                <w:lang w:eastAsia="zh-CN"/>
              </w:rPr>
              <w:t>Non-WD controls,</w:t>
            </w:r>
            <w:r>
              <w:rPr>
                <w:rFonts w:ascii="Times New Roman Bold" w:eastAsia="華康少女文字W5(P)" w:hAnsi="Times New Roman Bold" w:cs="Times New Roman Bold" w:hint="eastAsia"/>
                <w:b/>
                <w:sz w:val="20"/>
                <w:szCs w:val="20"/>
                <w:lang w:eastAsia="zh-CN"/>
              </w:rPr>
              <w:t xml:space="preserve"> </w:t>
            </w:r>
            <w:r>
              <w:rPr>
                <w:rFonts w:ascii="Times New Roman Bold" w:eastAsia="華康少女文字W5(P)" w:hAnsi="Times New Roman Bold" w:cs="Times New Roman Bold"/>
                <w:b/>
                <w:sz w:val="20"/>
                <w:szCs w:val="20"/>
                <w:lang w:eastAsia="zh-CN"/>
              </w:rPr>
              <w:t>n</w:t>
            </w:r>
            <w:r>
              <w:rPr>
                <w:rFonts w:ascii="Times New Roman Bold" w:eastAsia="華康少女文字W5(P)" w:hAnsi="Times New Roman Bold" w:cs="Times New Roman Bold" w:hint="eastAsia"/>
                <w:b/>
                <w:sz w:val="20"/>
                <w:szCs w:val="20"/>
                <w:lang w:eastAsia="zh-CN"/>
              </w:rPr>
              <w:t xml:space="preserve"> </w:t>
            </w:r>
            <w:r>
              <w:rPr>
                <w:rFonts w:ascii="Times New Roman Bold" w:eastAsia="華康少女文字W5(P)" w:hAnsi="Times New Roman Bold" w:cs="Times New Roman Bold"/>
                <w:b/>
                <w:sz w:val="20"/>
                <w:szCs w:val="20"/>
                <w:lang w:eastAsia="zh-CN"/>
              </w:rPr>
              <w:t>(%)</w:t>
            </w:r>
          </w:p>
        </w:tc>
      </w:tr>
      <w:tr w:rsidR="00351328" w14:paraId="24DC4B3C" w14:textId="77777777" w:rsidTr="00C45ED6">
        <w:trPr>
          <w:trHeight w:val="789"/>
          <w:jc w:val="center"/>
        </w:trPr>
        <w:tc>
          <w:tcPr>
            <w:tcW w:w="1579" w:type="pct"/>
            <w:tcBorders>
              <w:top w:val="single" w:sz="4" w:space="0" w:color="auto"/>
              <w:left w:val="nil"/>
              <w:bottom w:val="nil"/>
              <w:right w:val="nil"/>
            </w:tcBorders>
            <w:tcMar>
              <w:top w:w="160" w:type="dxa"/>
              <w:left w:w="240" w:type="dxa"/>
              <w:bottom w:w="160" w:type="dxa"/>
              <w:right w:w="240" w:type="dxa"/>
            </w:tcMar>
            <w:vAlign w:val="center"/>
          </w:tcPr>
          <w:p w14:paraId="294CE288"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Drug-induced or toxic liver injury</w:t>
            </w:r>
          </w:p>
        </w:tc>
        <w:tc>
          <w:tcPr>
            <w:tcW w:w="2184" w:type="pct"/>
            <w:tcBorders>
              <w:top w:val="single" w:sz="4" w:space="0" w:color="auto"/>
              <w:left w:val="nil"/>
              <w:bottom w:val="nil"/>
              <w:right w:val="nil"/>
            </w:tcBorders>
            <w:tcMar>
              <w:top w:w="160" w:type="dxa"/>
              <w:left w:w="240" w:type="dxa"/>
              <w:bottom w:w="160" w:type="dxa"/>
              <w:right w:w="240" w:type="dxa"/>
            </w:tcMar>
            <w:vAlign w:val="center"/>
          </w:tcPr>
          <w:p w14:paraId="059B393A"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Drug-, herbal-, or toxin-related liver injury</w:t>
            </w:r>
          </w:p>
        </w:tc>
        <w:tc>
          <w:tcPr>
            <w:tcW w:w="1235" w:type="pct"/>
            <w:tcBorders>
              <w:top w:val="single" w:sz="4" w:space="0" w:color="auto"/>
              <w:left w:val="nil"/>
              <w:bottom w:val="nil"/>
              <w:right w:val="nil"/>
            </w:tcBorders>
            <w:tcMar>
              <w:top w:w="160" w:type="dxa"/>
              <w:left w:w="240" w:type="dxa"/>
              <w:bottom w:w="160" w:type="dxa"/>
              <w:right w:w="240" w:type="dxa"/>
            </w:tcMar>
            <w:vAlign w:val="center"/>
          </w:tcPr>
          <w:p w14:paraId="2EEF13EE"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177 (37.2)</w:t>
            </w:r>
          </w:p>
        </w:tc>
      </w:tr>
      <w:tr w:rsidR="00351328" w14:paraId="1AABD1A2" w14:textId="77777777" w:rsidTr="00C45ED6">
        <w:trPr>
          <w:trHeight w:val="782"/>
          <w:jc w:val="center"/>
        </w:trPr>
        <w:tc>
          <w:tcPr>
            <w:tcW w:w="1579" w:type="pct"/>
            <w:tcBorders>
              <w:top w:val="nil"/>
              <w:left w:val="nil"/>
              <w:bottom w:val="nil"/>
              <w:right w:val="nil"/>
            </w:tcBorders>
            <w:tcMar>
              <w:top w:w="160" w:type="dxa"/>
              <w:left w:w="240" w:type="dxa"/>
              <w:bottom w:w="160" w:type="dxa"/>
              <w:right w:w="240" w:type="dxa"/>
            </w:tcMar>
            <w:vAlign w:val="center"/>
          </w:tcPr>
          <w:p w14:paraId="323EF1FF"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Autoimmune or cholestatic liver disease</w:t>
            </w:r>
          </w:p>
        </w:tc>
        <w:tc>
          <w:tcPr>
            <w:tcW w:w="2184" w:type="pct"/>
            <w:tcBorders>
              <w:top w:val="nil"/>
              <w:left w:val="nil"/>
              <w:bottom w:val="nil"/>
              <w:right w:val="nil"/>
            </w:tcBorders>
            <w:tcMar>
              <w:top w:w="160" w:type="dxa"/>
              <w:left w:w="240" w:type="dxa"/>
              <w:bottom w:w="160" w:type="dxa"/>
              <w:right w:w="240" w:type="dxa"/>
            </w:tcMar>
            <w:vAlign w:val="center"/>
          </w:tcPr>
          <w:p w14:paraId="33D69C21"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AIH, PBC, PSC, overlap syndrome</w:t>
            </w:r>
          </w:p>
        </w:tc>
        <w:tc>
          <w:tcPr>
            <w:tcW w:w="1235" w:type="pct"/>
            <w:tcBorders>
              <w:top w:val="nil"/>
              <w:left w:val="nil"/>
              <w:bottom w:val="nil"/>
              <w:right w:val="nil"/>
            </w:tcBorders>
            <w:tcMar>
              <w:top w:w="160" w:type="dxa"/>
              <w:left w:w="240" w:type="dxa"/>
              <w:bottom w:w="160" w:type="dxa"/>
              <w:right w:w="240" w:type="dxa"/>
            </w:tcMar>
            <w:vAlign w:val="center"/>
          </w:tcPr>
          <w:p w14:paraId="4B306552"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110 (23.1)</w:t>
            </w:r>
          </w:p>
        </w:tc>
      </w:tr>
      <w:tr w:rsidR="00351328" w14:paraId="7CA80660" w14:textId="77777777" w:rsidTr="00C45ED6">
        <w:trPr>
          <w:trHeight w:val="782"/>
          <w:jc w:val="center"/>
        </w:trPr>
        <w:tc>
          <w:tcPr>
            <w:tcW w:w="1579" w:type="pct"/>
            <w:tcBorders>
              <w:top w:val="nil"/>
              <w:left w:val="nil"/>
              <w:bottom w:val="nil"/>
              <w:right w:val="nil"/>
            </w:tcBorders>
            <w:tcMar>
              <w:top w:w="160" w:type="dxa"/>
              <w:left w:w="240" w:type="dxa"/>
              <w:bottom w:w="160" w:type="dxa"/>
              <w:right w:w="240" w:type="dxa"/>
            </w:tcMar>
            <w:vAlign w:val="center"/>
          </w:tcPr>
          <w:p w14:paraId="4C95FB55"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Viral hepatitis-related liver disease</w:t>
            </w:r>
          </w:p>
        </w:tc>
        <w:tc>
          <w:tcPr>
            <w:tcW w:w="2184" w:type="pct"/>
            <w:tcBorders>
              <w:top w:val="nil"/>
              <w:left w:val="nil"/>
              <w:bottom w:val="nil"/>
              <w:right w:val="nil"/>
            </w:tcBorders>
            <w:tcMar>
              <w:top w:w="160" w:type="dxa"/>
              <w:left w:w="240" w:type="dxa"/>
              <w:bottom w:w="160" w:type="dxa"/>
              <w:right w:w="240" w:type="dxa"/>
            </w:tcMar>
            <w:vAlign w:val="center"/>
          </w:tcPr>
          <w:p w14:paraId="30D7D0A9"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HBV, HCV, or other viral hepatitis-related liver injury</w:t>
            </w:r>
          </w:p>
        </w:tc>
        <w:tc>
          <w:tcPr>
            <w:tcW w:w="1235" w:type="pct"/>
            <w:tcBorders>
              <w:top w:val="nil"/>
              <w:left w:val="nil"/>
              <w:bottom w:val="nil"/>
              <w:right w:val="nil"/>
            </w:tcBorders>
            <w:tcMar>
              <w:top w:w="160" w:type="dxa"/>
              <w:left w:w="240" w:type="dxa"/>
              <w:bottom w:w="160" w:type="dxa"/>
              <w:right w:w="240" w:type="dxa"/>
            </w:tcMar>
            <w:vAlign w:val="center"/>
          </w:tcPr>
          <w:p w14:paraId="626CA2A2"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59 (12.4)</w:t>
            </w:r>
          </w:p>
        </w:tc>
      </w:tr>
      <w:tr w:rsidR="00351328" w14:paraId="288541B3" w14:textId="77777777" w:rsidTr="00C45ED6">
        <w:trPr>
          <w:trHeight w:val="821"/>
          <w:jc w:val="center"/>
        </w:trPr>
        <w:tc>
          <w:tcPr>
            <w:tcW w:w="1579" w:type="pct"/>
            <w:tcBorders>
              <w:top w:val="nil"/>
              <w:left w:val="nil"/>
              <w:bottom w:val="nil"/>
              <w:right w:val="nil"/>
            </w:tcBorders>
            <w:tcMar>
              <w:top w:w="160" w:type="dxa"/>
              <w:left w:w="240" w:type="dxa"/>
              <w:bottom w:w="160" w:type="dxa"/>
              <w:right w:w="240" w:type="dxa"/>
            </w:tcMar>
            <w:vAlign w:val="center"/>
          </w:tcPr>
          <w:p w14:paraId="550995CC"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Biliary obstruction or cholangitis</w:t>
            </w:r>
          </w:p>
        </w:tc>
        <w:tc>
          <w:tcPr>
            <w:tcW w:w="2184" w:type="pct"/>
            <w:tcBorders>
              <w:top w:val="nil"/>
              <w:left w:val="nil"/>
              <w:bottom w:val="nil"/>
              <w:right w:val="nil"/>
            </w:tcBorders>
            <w:tcMar>
              <w:top w:w="160" w:type="dxa"/>
              <w:left w:w="240" w:type="dxa"/>
              <w:bottom w:w="160" w:type="dxa"/>
              <w:right w:w="240" w:type="dxa"/>
            </w:tcMar>
            <w:vAlign w:val="center"/>
          </w:tcPr>
          <w:p w14:paraId="6BC495F0"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Extrahepatic/intrahepatic biliary obstruction, cholangitis, post-biliary intervention injury</w:t>
            </w:r>
          </w:p>
        </w:tc>
        <w:tc>
          <w:tcPr>
            <w:tcW w:w="1235" w:type="pct"/>
            <w:tcBorders>
              <w:top w:val="nil"/>
              <w:left w:val="nil"/>
              <w:bottom w:val="nil"/>
              <w:right w:val="nil"/>
            </w:tcBorders>
            <w:tcMar>
              <w:top w:w="160" w:type="dxa"/>
              <w:left w:w="240" w:type="dxa"/>
              <w:bottom w:w="160" w:type="dxa"/>
              <w:right w:w="240" w:type="dxa"/>
            </w:tcMar>
            <w:vAlign w:val="center"/>
          </w:tcPr>
          <w:p w14:paraId="6FB9086D"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43 (9.0)</w:t>
            </w:r>
          </w:p>
        </w:tc>
      </w:tr>
      <w:tr w:rsidR="00351328" w14:paraId="05114D75" w14:textId="77777777" w:rsidTr="00C45ED6">
        <w:trPr>
          <w:trHeight w:val="782"/>
          <w:jc w:val="center"/>
        </w:trPr>
        <w:tc>
          <w:tcPr>
            <w:tcW w:w="1579" w:type="pct"/>
            <w:tcBorders>
              <w:top w:val="nil"/>
              <w:left w:val="nil"/>
              <w:bottom w:val="nil"/>
              <w:right w:val="nil"/>
            </w:tcBorders>
            <w:tcMar>
              <w:top w:w="160" w:type="dxa"/>
              <w:left w:w="240" w:type="dxa"/>
              <w:bottom w:w="160" w:type="dxa"/>
              <w:right w:w="240" w:type="dxa"/>
            </w:tcMar>
            <w:vAlign w:val="center"/>
          </w:tcPr>
          <w:p w14:paraId="1B362C7F"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Alcohol-related or metabolic fatty liver disease</w:t>
            </w:r>
          </w:p>
        </w:tc>
        <w:tc>
          <w:tcPr>
            <w:tcW w:w="2184" w:type="pct"/>
            <w:tcBorders>
              <w:top w:val="nil"/>
              <w:left w:val="nil"/>
              <w:bottom w:val="nil"/>
              <w:right w:val="nil"/>
            </w:tcBorders>
            <w:tcMar>
              <w:top w:w="160" w:type="dxa"/>
              <w:left w:w="240" w:type="dxa"/>
              <w:bottom w:w="160" w:type="dxa"/>
              <w:right w:w="240" w:type="dxa"/>
            </w:tcMar>
            <w:vAlign w:val="center"/>
          </w:tcPr>
          <w:p w14:paraId="0855CE05"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 xml:space="preserve">Alcohol-related liver disease, MASLD/NAFLD </w:t>
            </w:r>
          </w:p>
        </w:tc>
        <w:tc>
          <w:tcPr>
            <w:tcW w:w="1235" w:type="pct"/>
            <w:tcBorders>
              <w:top w:val="nil"/>
              <w:left w:val="nil"/>
              <w:bottom w:val="nil"/>
              <w:right w:val="nil"/>
            </w:tcBorders>
            <w:tcMar>
              <w:top w:w="160" w:type="dxa"/>
              <w:left w:w="240" w:type="dxa"/>
              <w:bottom w:w="160" w:type="dxa"/>
              <w:right w:w="240" w:type="dxa"/>
            </w:tcMar>
            <w:vAlign w:val="center"/>
          </w:tcPr>
          <w:p w14:paraId="5ECD4D09"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39 (8.2)</w:t>
            </w:r>
          </w:p>
        </w:tc>
      </w:tr>
      <w:tr w:rsidR="00351328" w14:paraId="632EF4C2" w14:textId="77777777" w:rsidTr="00C45ED6">
        <w:trPr>
          <w:trHeight w:val="821"/>
          <w:jc w:val="center"/>
        </w:trPr>
        <w:tc>
          <w:tcPr>
            <w:tcW w:w="1579" w:type="pct"/>
            <w:tcBorders>
              <w:top w:val="nil"/>
              <w:left w:val="nil"/>
              <w:bottom w:val="nil"/>
              <w:right w:val="nil"/>
            </w:tcBorders>
            <w:tcMar>
              <w:top w:w="160" w:type="dxa"/>
              <w:left w:w="240" w:type="dxa"/>
              <w:bottom w:w="160" w:type="dxa"/>
              <w:right w:w="240" w:type="dxa"/>
            </w:tcMar>
            <w:vAlign w:val="center"/>
          </w:tcPr>
          <w:p w14:paraId="03D5264C"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Malignancy-related, vascular, or portal hypertensive disorders</w:t>
            </w:r>
          </w:p>
        </w:tc>
        <w:tc>
          <w:tcPr>
            <w:tcW w:w="2184" w:type="pct"/>
            <w:tcBorders>
              <w:top w:val="nil"/>
              <w:left w:val="nil"/>
              <w:bottom w:val="nil"/>
              <w:right w:val="nil"/>
            </w:tcBorders>
            <w:tcMar>
              <w:top w:w="160" w:type="dxa"/>
              <w:left w:w="240" w:type="dxa"/>
              <w:bottom w:w="160" w:type="dxa"/>
              <w:right w:w="240" w:type="dxa"/>
            </w:tcMar>
            <w:vAlign w:val="center"/>
          </w:tcPr>
          <w:p w14:paraId="232AEC35"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Tumor-related obstruction/infiltration, vascular liver disease, portal hypertensive disorders</w:t>
            </w:r>
          </w:p>
        </w:tc>
        <w:tc>
          <w:tcPr>
            <w:tcW w:w="1235" w:type="pct"/>
            <w:tcBorders>
              <w:top w:val="nil"/>
              <w:left w:val="nil"/>
              <w:bottom w:val="nil"/>
              <w:right w:val="nil"/>
            </w:tcBorders>
            <w:tcMar>
              <w:top w:w="160" w:type="dxa"/>
              <w:left w:w="240" w:type="dxa"/>
              <w:bottom w:w="160" w:type="dxa"/>
              <w:right w:w="240" w:type="dxa"/>
            </w:tcMar>
            <w:vAlign w:val="center"/>
          </w:tcPr>
          <w:p w14:paraId="40B46261"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22 (4.6)</w:t>
            </w:r>
          </w:p>
        </w:tc>
      </w:tr>
      <w:tr w:rsidR="00351328" w14:paraId="2E469612" w14:textId="77777777" w:rsidTr="00C45ED6">
        <w:trPr>
          <w:trHeight w:val="782"/>
          <w:jc w:val="center"/>
        </w:trPr>
        <w:tc>
          <w:tcPr>
            <w:tcW w:w="1579" w:type="pct"/>
            <w:tcBorders>
              <w:top w:val="nil"/>
              <w:left w:val="nil"/>
              <w:bottom w:val="nil"/>
              <w:right w:val="nil"/>
            </w:tcBorders>
            <w:tcMar>
              <w:top w:w="160" w:type="dxa"/>
              <w:left w:w="240" w:type="dxa"/>
              <w:bottom w:w="160" w:type="dxa"/>
              <w:right w:w="240" w:type="dxa"/>
            </w:tcMar>
            <w:vAlign w:val="center"/>
          </w:tcPr>
          <w:p w14:paraId="1B70A84C"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Other adjudicated non-WD liver diseases</w:t>
            </w:r>
          </w:p>
        </w:tc>
        <w:tc>
          <w:tcPr>
            <w:tcW w:w="2184" w:type="pct"/>
            <w:tcBorders>
              <w:top w:val="nil"/>
              <w:left w:val="nil"/>
              <w:bottom w:val="nil"/>
              <w:right w:val="nil"/>
            </w:tcBorders>
            <w:tcMar>
              <w:top w:w="160" w:type="dxa"/>
              <w:left w:w="240" w:type="dxa"/>
              <w:bottom w:w="160" w:type="dxa"/>
              <w:right w:w="240" w:type="dxa"/>
            </w:tcMar>
            <w:vAlign w:val="center"/>
          </w:tcPr>
          <w:p w14:paraId="4BF51BB7"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Other final non-WD diagnoses not fitting predefined categories</w:t>
            </w:r>
          </w:p>
        </w:tc>
        <w:tc>
          <w:tcPr>
            <w:tcW w:w="1235" w:type="pct"/>
            <w:tcBorders>
              <w:top w:val="nil"/>
              <w:left w:val="nil"/>
              <w:bottom w:val="nil"/>
              <w:right w:val="nil"/>
            </w:tcBorders>
            <w:tcMar>
              <w:top w:w="160" w:type="dxa"/>
              <w:left w:w="240" w:type="dxa"/>
              <w:bottom w:w="160" w:type="dxa"/>
              <w:right w:w="240" w:type="dxa"/>
            </w:tcMar>
            <w:vAlign w:val="center"/>
          </w:tcPr>
          <w:p w14:paraId="1535067D" w14:textId="77777777" w:rsidR="00351328" w:rsidRDefault="00351328" w:rsidP="00C45ED6">
            <w:pPr>
              <w:pStyle w:val="NormalWeb"/>
              <w:widowControl/>
              <w:snapToGrid w:val="0"/>
              <w:spacing w:beforeAutospacing="0" w:line="360" w:lineRule="auto"/>
              <w:jc w:val="center"/>
              <w:rPr>
                <w:rFonts w:ascii="Times New Roman" w:eastAsia="SimSun" w:hAnsi="Times New Roman"/>
                <w:sz w:val="20"/>
                <w:szCs w:val="20"/>
              </w:rPr>
            </w:pPr>
            <w:r>
              <w:rPr>
                <w:rFonts w:ascii="Times New Roman" w:eastAsia="SimSun" w:hAnsi="Times New Roman"/>
                <w:sz w:val="20"/>
                <w:szCs w:val="20"/>
              </w:rPr>
              <w:t>26 (5.5)</w:t>
            </w:r>
          </w:p>
        </w:tc>
      </w:tr>
      <w:tr w:rsidR="00351328" w14:paraId="4BCD2A71" w14:textId="77777777" w:rsidTr="00C45ED6">
        <w:trPr>
          <w:trHeight w:val="645"/>
          <w:jc w:val="center"/>
        </w:trPr>
        <w:tc>
          <w:tcPr>
            <w:tcW w:w="1579" w:type="pct"/>
            <w:tcBorders>
              <w:top w:val="nil"/>
              <w:left w:val="nil"/>
              <w:bottom w:val="single" w:sz="12" w:space="0" w:color="auto"/>
              <w:right w:val="nil"/>
            </w:tcBorders>
            <w:tcMar>
              <w:top w:w="160" w:type="dxa"/>
              <w:left w:w="240" w:type="dxa"/>
              <w:bottom w:w="160" w:type="dxa"/>
              <w:right w:w="240" w:type="dxa"/>
            </w:tcMar>
            <w:vAlign w:val="center"/>
          </w:tcPr>
          <w:p w14:paraId="64F7EDE7" w14:textId="77777777" w:rsidR="00351328" w:rsidRDefault="00351328" w:rsidP="00C45ED6">
            <w:pPr>
              <w:pStyle w:val="NormalWeb"/>
              <w:widowControl/>
              <w:snapToGrid w:val="0"/>
              <w:spacing w:beforeAutospacing="0" w:line="360" w:lineRule="auto"/>
              <w:jc w:val="center"/>
              <w:rPr>
                <w:rFonts w:ascii="Times New Roman" w:eastAsia="SimSun" w:hAnsi="Times New Roman"/>
                <w:b/>
                <w:sz w:val="20"/>
                <w:szCs w:val="20"/>
              </w:rPr>
            </w:pPr>
            <w:r>
              <w:rPr>
                <w:rFonts w:ascii="Times New Roman" w:eastAsia="SimSun" w:hAnsi="Times New Roman"/>
                <w:b/>
                <w:sz w:val="20"/>
                <w:szCs w:val="20"/>
              </w:rPr>
              <w:t>Total</w:t>
            </w:r>
          </w:p>
        </w:tc>
        <w:tc>
          <w:tcPr>
            <w:tcW w:w="2184" w:type="pct"/>
            <w:tcBorders>
              <w:top w:val="nil"/>
              <w:left w:val="nil"/>
              <w:bottom w:val="single" w:sz="12" w:space="0" w:color="auto"/>
              <w:right w:val="nil"/>
            </w:tcBorders>
            <w:tcMar>
              <w:top w:w="160" w:type="dxa"/>
              <w:left w:w="240" w:type="dxa"/>
              <w:bottom w:w="160" w:type="dxa"/>
              <w:right w:w="240" w:type="dxa"/>
            </w:tcMar>
            <w:vAlign w:val="center"/>
          </w:tcPr>
          <w:p w14:paraId="166EAE0F" w14:textId="77777777" w:rsidR="00351328" w:rsidRDefault="00351328" w:rsidP="00C45ED6">
            <w:pPr>
              <w:pStyle w:val="NormalWeb"/>
              <w:widowControl/>
              <w:snapToGrid w:val="0"/>
              <w:spacing w:beforeAutospacing="0" w:line="360" w:lineRule="auto"/>
              <w:jc w:val="center"/>
              <w:rPr>
                <w:rFonts w:ascii="Times New Roman" w:eastAsia="SimSun" w:hAnsi="Times New Roman"/>
                <w:b/>
                <w:sz w:val="20"/>
                <w:szCs w:val="20"/>
              </w:rPr>
            </w:pPr>
          </w:p>
        </w:tc>
        <w:tc>
          <w:tcPr>
            <w:tcW w:w="1235" w:type="pct"/>
            <w:tcBorders>
              <w:top w:val="nil"/>
              <w:left w:val="nil"/>
              <w:bottom w:val="single" w:sz="12" w:space="0" w:color="auto"/>
              <w:right w:val="nil"/>
            </w:tcBorders>
            <w:tcMar>
              <w:top w:w="-1" w:type="dxa"/>
              <w:left w:w="-1" w:type="dxa"/>
              <w:bottom w:w="-1" w:type="dxa"/>
              <w:right w:w="-1" w:type="dxa"/>
            </w:tcMar>
            <w:vAlign w:val="center"/>
          </w:tcPr>
          <w:p w14:paraId="2F182195" w14:textId="77777777" w:rsidR="00351328" w:rsidRDefault="00351328" w:rsidP="00C45ED6">
            <w:pPr>
              <w:snapToGrid w:val="0"/>
              <w:spacing w:line="360" w:lineRule="auto"/>
              <w:jc w:val="center"/>
              <w:rPr>
                <w:rFonts w:ascii="Times New Roman" w:eastAsia="SimSun" w:hAnsi="Times New Roman" w:cs="Times New Roman"/>
                <w:b/>
                <w:sz w:val="20"/>
                <w:szCs w:val="20"/>
              </w:rPr>
            </w:pPr>
            <w:r>
              <w:rPr>
                <w:rFonts w:ascii="Times New Roman" w:eastAsia="SimSun" w:hAnsi="Times New Roman" w:cs="Times New Roman"/>
                <w:b/>
                <w:sz w:val="20"/>
                <w:szCs w:val="20"/>
              </w:rPr>
              <w:t>476 (100.0)</w:t>
            </w:r>
          </w:p>
        </w:tc>
      </w:tr>
    </w:tbl>
    <w:p w14:paraId="48881153" w14:textId="18E21EAC" w:rsidR="0067415F" w:rsidRDefault="00351328">
      <w:r>
        <w:rPr>
          <w:rFonts w:ascii="Times New Roman Bold" w:hAnsi="Times New Roman Bold" w:cs="Times New Roman Bold"/>
          <w:b/>
          <w:sz w:val="20"/>
          <w:szCs w:val="20"/>
        </w:rPr>
        <w:t>Footnote:</w:t>
      </w:r>
      <w:r>
        <w:rPr>
          <w:rFonts w:ascii="Times New Roman Bold" w:hAnsi="Times New Roman Bold" w:cs="Times New Roman Bold"/>
          <w:b/>
          <w:sz w:val="20"/>
          <w:szCs w:val="20"/>
          <w:lang w:eastAsia="zh-CN"/>
        </w:rPr>
        <w:t xml:space="preserve"> </w:t>
      </w:r>
      <w:r>
        <w:rPr>
          <w:rFonts w:ascii="Times New Roman Regular" w:hAnsi="Times New Roman Regular" w:cs="Times New Roman Regular"/>
          <w:sz w:val="20"/>
          <w:szCs w:val="20"/>
          <w:lang w:eastAsia="zh-CN"/>
        </w:rPr>
        <w:t>Etiologic categories were assigned according to the predominant diagnosis recorded during final diagnostic adjudication. When multiple liver disease diagnoses were documented, the diagnosis considered most responsible for hypercupriuria or liver injury was used for classification. Abbreviations: AIH, autoimmune hepatitis; HBV, hepatitis B virus; HCV, hepatitis C virus; MASLD, metabolic dysfunction-associated steatotic liver disease; NAFLD, non-alcoholic fatty liver disease; PBC, primary biliary cholangitis; PSC, primary sclerosing cholangitis; WD, Wilson disease.</w:t>
      </w:r>
    </w:p>
    <w:sectPr w:rsidR="006741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auto"/>
    <w:pitch w:val="default"/>
    <w:sig w:usb0="E0000AFF" w:usb1="00007843" w:usb2="00000001" w:usb3="00000000" w:csb0="400001BF" w:csb1="DFF70000"/>
  </w:font>
  <w:font w:name="華康少女文字W5(P)">
    <w:altName w:val="Microsoft JhengHei"/>
    <w:charset w:val="88"/>
    <w:family w:val="auto"/>
    <w:pitch w:val="default"/>
    <w:sig w:usb0="800002E3" w:usb1="28CFFCFA" w:usb2="00000016" w:usb3="00000000" w:csb0="00100001" w:csb1="00000000"/>
  </w:font>
  <w:font w:name="Times New Roman Regular">
    <w:altName w:val="Times New Roman"/>
    <w:charset w:val="00"/>
    <w:family w:val="auto"/>
    <w:pitch w:val="default"/>
    <w:sig w:usb0="E0000AFF" w:usb1="00007843" w:usb2="00000001" w:usb3="00000000" w:csb0="400001BF" w:csb1="DFF70000"/>
  </w:font>
  <w:font w:name="SimSun">
    <w:altName w:val="??????????¨¬?????"/>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94"/>
    <w:rsid w:val="000D4A94"/>
    <w:rsid w:val="00351328"/>
    <w:rsid w:val="004244E6"/>
    <w:rsid w:val="0067415F"/>
    <w:rsid w:val="00CE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88EB3-8AF4-4AA9-A7C5-4E1BA8FD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4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4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4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4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A94"/>
    <w:rPr>
      <w:rFonts w:eastAsiaTheme="majorEastAsia" w:cstheme="majorBidi"/>
      <w:color w:val="272727" w:themeColor="text1" w:themeTint="D8"/>
    </w:rPr>
  </w:style>
  <w:style w:type="paragraph" w:styleId="Title">
    <w:name w:val="Title"/>
    <w:basedOn w:val="Normal"/>
    <w:next w:val="Normal"/>
    <w:link w:val="TitleChar"/>
    <w:uiPriority w:val="10"/>
    <w:qFormat/>
    <w:rsid w:val="000D4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A94"/>
    <w:pPr>
      <w:spacing w:before="160"/>
      <w:jc w:val="center"/>
    </w:pPr>
    <w:rPr>
      <w:i/>
      <w:iCs/>
      <w:color w:val="404040" w:themeColor="text1" w:themeTint="BF"/>
    </w:rPr>
  </w:style>
  <w:style w:type="character" w:customStyle="1" w:styleId="QuoteChar">
    <w:name w:val="Quote Char"/>
    <w:basedOn w:val="DefaultParagraphFont"/>
    <w:link w:val="Quote"/>
    <w:uiPriority w:val="29"/>
    <w:rsid w:val="000D4A94"/>
    <w:rPr>
      <w:i/>
      <w:iCs/>
      <w:color w:val="404040" w:themeColor="text1" w:themeTint="BF"/>
    </w:rPr>
  </w:style>
  <w:style w:type="paragraph" w:styleId="ListParagraph">
    <w:name w:val="List Paragraph"/>
    <w:basedOn w:val="Normal"/>
    <w:uiPriority w:val="34"/>
    <w:qFormat/>
    <w:rsid w:val="000D4A94"/>
    <w:pPr>
      <w:ind w:left="720"/>
      <w:contextualSpacing/>
    </w:pPr>
  </w:style>
  <w:style w:type="character" w:styleId="IntenseEmphasis">
    <w:name w:val="Intense Emphasis"/>
    <w:basedOn w:val="DefaultParagraphFont"/>
    <w:uiPriority w:val="21"/>
    <w:qFormat/>
    <w:rsid w:val="000D4A94"/>
    <w:rPr>
      <w:i/>
      <w:iCs/>
      <w:color w:val="2F5496" w:themeColor="accent1" w:themeShade="BF"/>
    </w:rPr>
  </w:style>
  <w:style w:type="paragraph" w:styleId="IntenseQuote">
    <w:name w:val="Intense Quote"/>
    <w:basedOn w:val="Normal"/>
    <w:next w:val="Normal"/>
    <w:link w:val="IntenseQuoteChar"/>
    <w:uiPriority w:val="30"/>
    <w:qFormat/>
    <w:rsid w:val="000D4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A94"/>
    <w:rPr>
      <w:i/>
      <w:iCs/>
      <w:color w:val="2F5496" w:themeColor="accent1" w:themeShade="BF"/>
    </w:rPr>
  </w:style>
  <w:style w:type="character" w:styleId="IntenseReference">
    <w:name w:val="Intense Reference"/>
    <w:basedOn w:val="DefaultParagraphFont"/>
    <w:uiPriority w:val="32"/>
    <w:qFormat/>
    <w:rsid w:val="000D4A94"/>
    <w:rPr>
      <w:b/>
      <w:bCs/>
      <w:smallCaps/>
      <w:color w:val="2F5496" w:themeColor="accent1" w:themeShade="BF"/>
      <w:spacing w:val="5"/>
    </w:rPr>
  </w:style>
  <w:style w:type="paragraph" w:styleId="NormalWeb">
    <w:name w:val="Normal (Web)"/>
    <w:basedOn w:val="Normal"/>
    <w:qFormat/>
    <w:rsid w:val="00351328"/>
    <w:pPr>
      <w:widowControl w:val="0"/>
      <w:spacing w:beforeAutospacing="1" w:after="0" w:afterAutospacing="1" w:line="240" w:lineRule="auto"/>
    </w:pPr>
    <w:rPr>
      <w:rFonts w:eastAsiaTheme="minorEastAsia" w:cs="Times New Roman"/>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2026-06-18T01:21:00Z</dcterms:created>
  <dcterms:modified xsi:type="dcterms:W3CDTF">2026-06-18T01:21:00Z</dcterms:modified>
</cp:coreProperties>
</file>