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4B805" w14:textId="77777777" w:rsidR="00E81B10" w:rsidRPr="00F05298" w:rsidRDefault="00E81B10" w:rsidP="00E81B10">
      <w:pPr>
        <w:jc w:val="center"/>
        <w:rPr>
          <w:rFonts w:ascii="Times New Roman" w:hAnsi="Times New Roman" w:cs="Times New Roman"/>
          <w:b/>
          <w:bCs/>
          <w:sz w:val="22"/>
          <w:szCs w:val="22"/>
        </w:rPr>
      </w:pPr>
      <w:r w:rsidRPr="00F05298">
        <w:rPr>
          <w:rFonts w:ascii="Times New Roman" w:hAnsi="Times New Roman" w:cs="Times New Roman" w:hint="eastAsia"/>
          <w:b/>
          <w:bCs/>
          <w:sz w:val="22"/>
          <w:szCs w:val="22"/>
        </w:rPr>
        <w:t xml:space="preserve">Supplementary Table </w:t>
      </w:r>
      <w:r w:rsidRPr="00C926AF">
        <w:rPr>
          <w:rFonts w:ascii="Times New Roman" w:hAnsi="Times New Roman" w:cs="Times New Roman" w:hint="eastAsia"/>
          <w:b/>
          <w:bCs/>
          <w:sz w:val="22"/>
          <w:szCs w:val="22"/>
        </w:rPr>
        <w:t>2</w:t>
      </w:r>
      <w:r w:rsidRPr="00F05298">
        <w:rPr>
          <w:rFonts w:ascii="Times New Roman" w:hAnsi="Times New Roman" w:cs="Times New Roman" w:hint="eastAsia"/>
          <w:b/>
          <w:bCs/>
          <w:sz w:val="22"/>
          <w:szCs w:val="22"/>
        </w:rPr>
        <w:t>. Operational definitions and data collection methods for tertiary indicators</w:t>
      </w:r>
    </w:p>
    <w:tbl>
      <w:tblPr>
        <w:tblW w:w="8522" w:type="dxa"/>
        <w:jc w:val="center"/>
        <w:tblLayout w:type="fixed"/>
        <w:tblLook w:val="04A0" w:firstRow="1" w:lastRow="0" w:firstColumn="1" w:lastColumn="0" w:noHBand="0" w:noVBand="1"/>
      </w:tblPr>
      <w:tblGrid>
        <w:gridCol w:w="1228"/>
        <w:gridCol w:w="1906"/>
        <w:gridCol w:w="2469"/>
        <w:gridCol w:w="1281"/>
        <w:gridCol w:w="1638"/>
      </w:tblGrid>
      <w:tr w:rsidR="00E81B10" w:rsidRPr="00F05298" w14:paraId="78CD510C" w14:textId="77777777" w:rsidTr="007C0750">
        <w:trPr>
          <w:trHeight w:val="270"/>
          <w:jc w:val="center"/>
        </w:trPr>
        <w:tc>
          <w:tcPr>
            <w:tcW w:w="1228" w:type="dxa"/>
            <w:tcBorders>
              <w:top w:val="single" w:sz="12" w:space="0" w:color="000000"/>
              <w:left w:val="nil"/>
              <w:bottom w:val="single" w:sz="4" w:space="0" w:color="000000"/>
              <w:right w:val="nil"/>
              <w:tl2br w:val="nil"/>
            </w:tcBorders>
            <w:noWrap/>
            <w:vAlign w:val="center"/>
          </w:tcPr>
          <w:p w14:paraId="73346BF5" w14:textId="77777777" w:rsidR="00E81B10" w:rsidRPr="00C926AF" w:rsidRDefault="00E81B10" w:rsidP="007C0750">
            <w:pPr>
              <w:jc w:val="center"/>
              <w:textAlignment w:val="center"/>
              <w:rPr>
                <w:rFonts w:ascii="Times New Roman" w:eastAsia="SimSun" w:hAnsi="Times New Roman" w:cs="Times New Roman"/>
                <w:b/>
                <w:bCs/>
                <w:sz w:val="22"/>
                <w:szCs w:val="22"/>
              </w:rPr>
            </w:pPr>
            <w:r w:rsidRPr="00C926AF">
              <w:rPr>
                <w:rFonts w:ascii="Times New Roman" w:eastAsia="SimSun" w:hAnsi="Times New Roman" w:cs="Times New Roman"/>
                <w:b/>
                <w:bCs/>
                <w:kern w:val="0"/>
                <w:sz w:val="22"/>
                <w:szCs w:val="22"/>
                <w:lang w:bidi="ar"/>
              </w:rPr>
              <w:t>Indicator code</w:t>
            </w:r>
          </w:p>
        </w:tc>
        <w:tc>
          <w:tcPr>
            <w:tcW w:w="1906" w:type="dxa"/>
            <w:tcBorders>
              <w:top w:val="single" w:sz="12" w:space="0" w:color="000000"/>
              <w:left w:val="nil"/>
              <w:bottom w:val="single" w:sz="4" w:space="0" w:color="000000"/>
              <w:right w:val="nil"/>
            </w:tcBorders>
            <w:noWrap/>
            <w:vAlign w:val="center"/>
          </w:tcPr>
          <w:p w14:paraId="3D1E9588" w14:textId="77777777" w:rsidR="00E81B10" w:rsidRPr="00C926AF" w:rsidRDefault="00E81B10" w:rsidP="007C0750">
            <w:pPr>
              <w:jc w:val="center"/>
              <w:textAlignment w:val="center"/>
              <w:rPr>
                <w:rFonts w:ascii="Times New Roman" w:eastAsia="SimSun" w:hAnsi="Times New Roman" w:cs="Times New Roman"/>
                <w:b/>
                <w:bCs/>
                <w:sz w:val="22"/>
                <w:szCs w:val="22"/>
              </w:rPr>
            </w:pPr>
            <w:r w:rsidRPr="00C926AF">
              <w:rPr>
                <w:rFonts w:ascii="Times New Roman" w:eastAsia="SimSun" w:hAnsi="Times New Roman" w:cs="Times New Roman"/>
                <w:b/>
                <w:bCs/>
                <w:kern w:val="0"/>
                <w:sz w:val="22"/>
                <w:szCs w:val="22"/>
                <w:lang w:bidi="ar"/>
              </w:rPr>
              <w:t>Indicator name</w:t>
            </w:r>
          </w:p>
        </w:tc>
        <w:tc>
          <w:tcPr>
            <w:tcW w:w="2469" w:type="dxa"/>
            <w:tcBorders>
              <w:top w:val="single" w:sz="12" w:space="0" w:color="000000"/>
              <w:left w:val="nil"/>
              <w:bottom w:val="single" w:sz="4" w:space="0" w:color="000000"/>
              <w:right w:val="nil"/>
            </w:tcBorders>
            <w:noWrap/>
            <w:vAlign w:val="center"/>
          </w:tcPr>
          <w:p w14:paraId="595B623D" w14:textId="77777777" w:rsidR="00E81B10" w:rsidRPr="00C926AF" w:rsidRDefault="00E81B10" w:rsidP="007C0750">
            <w:pPr>
              <w:jc w:val="center"/>
              <w:textAlignment w:val="center"/>
              <w:rPr>
                <w:rFonts w:ascii="Times New Roman" w:eastAsia="SimSun" w:hAnsi="Times New Roman" w:cs="Times New Roman"/>
                <w:b/>
                <w:bCs/>
                <w:sz w:val="22"/>
                <w:szCs w:val="22"/>
              </w:rPr>
            </w:pPr>
            <w:r w:rsidRPr="00C926AF">
              <w:rPr>
                <w:rFonts w:ascii="Times New Roman" w:eastAsia="SimSun" w:hAnsi="Times New Roman" w:cs="Times New Roman"/>
                <w:b/>
                <w:bCs/>
                <w:kern w:val="0"/>
                <w:sz w:val="22"/>
                <w:szCs w:val="22"/>
                <w:lang w:bidi="ar"/>
              </w:rPr>
              <w:t>Operational definition</w:t>
            </w:r>
          </w:p>
        </w:tc>
        <w:tc>
          <w:tcPr>
            <w:tcW w:w="1281" w:type="dxa"/>
            <w:tcBorders>
              <w:top w:val="single" w:sz="12" w:space="0" w:color="000000"/>
              <w:left w:val="nil"/>
              <w:bottom w:val="single" w:sz="4" w:space="0" w:color="000000"/>
              <w:right w:val="nil"/>
            </w:tcBorders>
            <w:noWrap/>
            <w:vAlign w:val="center"/>
          </w:tcPr>
          <w:p w14:paraId="21D4A437" w14:textId="77777777" w:rsidR="00E81B10" w:rsidRPr="00C926AF" w:rsidRDefault="00E81B10" w:rsidP="007C0750">
            <w:pPr>
              <w:jc w:val="center"/>
              <w:textAlignment w:val="center"/>
              <w:rPr>
                <w:rFonts w:ascii="Times New Roman" w:eastAsia="SimSun" w:hAnsi="Times New Roman" w:cs="Times New Roman"/>
                <w:b/>
                <w:bCs/>
                <w:sz w:val="22"/>
                <w:szCs w:val="22"/>
              </w:rPr>
            </w:pPr>
            <w:r w:rsidRPr="00C926AF">
              <w:rPr>
                <w:rFonts w:ascii="Times New Roman" w:eastAsia="SimSun" w:hAnsi="Times New Roman" w:cs="Times New Roman"/>
                <w:b/>
                <w:bCs/>
                <w:kern w:val="0"/>
                <w:sz w:val="22"/>
                <w:szCs w:val="22"/>
                <w:lang w:bidi="ar"/>
              </w:rPr>
              <w:t>Data source</w:t>
            </w:r>
          </w:p>
        </w:tc>
        <w:tc>
          <w:tcPr>
            <w:tcW w:w="1638" w:type="dxa"/>
            <w:tcBorders>
              <w:top w:val="single" w:sz="12" w:space="0" w:color="000000"/>
              <w:left w:val="nil"/>
              <w:bottom w:val="single" w:sz="4" w:space="0" w:color="000000"/>
              <w:right w:val="nil"/>
            </w:tcBorders>
            <w:noWrap/>
            <w:vAlign w:val="center"/>
          </w:tcPr>
          <w:p w14:paraId="75AC9497" w14:textId="77777777" w:rsidR="00E81B10" w:rsidRPr="00C926AF" w:rsidRDefault="00E81B10" w:rsidP="007C0750">
            <w:pPr>
              <w:jc w:val="center"/>
              <w:textAlignment w:val="center"/>
              <w:rPr>
                <w:rFonts w:ascii="Times New Roman" w:eastAsia="SimSun" w:hAnsi="Times New Roman" w:cs="Times New Roman"/>
                <w:b/>
                <w:bCs/>
                <w:sz w:val="22"/>
                <w:szCs w:val="22"/>
              </w:rPr>
            </w:pPr>
            <w:r w:rsidRPr="00C926AF">
              <w:rPr>
                <w:rFonts w:ascii="Times New Roman" w:eastAsia="SimSun" w:hAnsi="Times New Roman" w:cs="Times New Roman"/>
                <w:b/>
                <w:bCs/>
                <w:kern w:val="0"/>
                <w:sz w:val="22"/>
                <w:szCs w:val="22"/>
                <w:lang w:bidi="ar"/>
              </w:rPr>
              <w:t>Recommended collection frequency</w:t>
            </w:r>
          </w:p>
        </w:tc>
      </w:tr>
      <w:tr w:rsidR="00E81B10" w:rsidRPr="00F05298" w14:paraId="7BC9A167" w14:textId="77777777" w:rsidTr="007C0750">
        <w:trPr>
          <w:trHeight w:val="270"/>
          <w:jc w:val="center"/>
        </w:trPr>
        <w:tc>
          <w:tcPr>
            <w:tcW w:w="1228" w:type="dxa"/>
            <w:tcBorders>
              <w:top w:val="single" w:sz="4" w:space="0" w:color="000000"/>
              <w:left w:val="nil"/>
              <w:bottom w:val="nil"/>
              <w:right w:val="nil"/>
            </w:tcBorders>
            <w:noWrap/>
            <w:vAlign w:val="center"/>
          </w:tcPr>
          <w:p w14:paraId="77AB44A6"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I-1-1</w:t>
            </w:r>
          </w:p>
        </w:tc>
        <w:tc>
          <w:tcPr>
            <w:tcW w:w="1906" w:type="dxa"/>
            <w:tcBorders>
              <w:top w:val="single" w:sz="4" w:space="0" w:color="000000"/>
              <w:left w:val="nil"/>
              <w:bottom w:val="nil"/>
              <w:right w:val="nil"/>
            </w:tcBorders>
            <w:noWrap/>
            <w:vAlign w:val="center"/>
          </w:tcPr>
          <w:p w14:paraId="007587EC"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Completeness rate of dysphagia nursing management system and process</w:t>
            </w:r>
          </w:p>
        </w:tc>
        <w:tc>
          <w:tcPr>
            <w:tcW w:w="2469" w:type="dxa"/>
            <w:tcBorders>
              <w:top w:val="single" w:sz="4" w:space="0" w:color="000000"/>
              <w:left w:val="nil"/>
              <w:bottom w:val="nil"/>
              <w:right w:val="nil"/>
            </w:tcBorders>
            <w:noWrap/>
            <w:vAlign w:val="center"/>
          </w:tcPr>
          <w:p w14:paraId="37EC26B3"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nursing units with documented, approved dysphagia management protocols</w:t>
            </w:r>
          </w:p>
        </w:tc>
        <w:tc>
          <w:tcPr>
            <w:tcW w:w="1281" w:type="dxa"/>
            <w:tcBorders>
              <w:top w:val="single" w:sz="4" w:space="0" w:color="000000"/>
              <w:left w:val="nil"/>
              <w:bottom w:val="nil"/>
              <w:right w:val="nil"/>
            </w:tcBorders>
            <w:noWrap/>
            <w:vAlign w:val="center"/>
          </w:tcPr>
          <w:p w14:paraId="7995832E"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Nursing department records; policy review</w:t>
            </w:r>
          </w:p>
        </w:tc>
        <w:tc>
          <w:tcPr>
            <w:tcW w:w="1638" w:type="dxa"/>
            <w:tcBorders>
              <w:top w:val="single" w:sz="4" w:space="0" w:color="000000"/>
              <w:left w:val="nil"/>
              <w:bottom w:val="nil"/>
              <w:right w:val="nil"/>
            </w:tcBorders>
            <w:noWrap/>
            <w:vAlign w:val="center"/>
          </w:tcPr>
          <w:p w14:paraId="77D6856D"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Quarterly</w:t>
            </w:r>
          </w:p>
        </w:tc>
      </w:tr>
      <w:tr w:rsidR="00E81B10" w:rsidRPr="00F05298" w14:paraId="37D23AB1" w14:textId="77777777" w:rsidTr="007C0750">
        <w:trPr>
          <w:trHeight w:val="270"/>
          <w:jc w:val="center"/>
        </w:trPr>
        <w:tc>
          <w:tcPr>
            <w:tcW w:w="1228" w:type="dxa"/>
            <w:tcBorders>
              <w:top w:val="nil"/>
              <w:left w:val="nil"/>
              <w:bottom w:val="nil"/>
              <w:right w:val="nil"/>
            </w:tcBorders>
            <w:noWrap/>
            <w:vAlign w:val="center"/>
          </w:tcPr>
          <w:p w14:paraId="0141E189"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I-1-2</w:t>
            </w:r>
          </w:p>
        </w:tc>
        <w:tc>
          <w:tcPr>
            <w:tcW w:w="1906" w:type="dxa"/>
            <w:tcBorders>
              <w:top w:val="nil"/>
              <w:left w:val="nil"/>
              <w:bottom w:val="nil"/>
              <w:right w:val="nil"/>
            </w:tcBorders>
            <w:noWrap/>
            <w:vAlign w:val="center"/>
          </w:tcPr>
          <w:p w14:paraId="5775F4A6"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Completeness rate of risk assessment system and process</w:t>
            </w:r>
          </w:p>
        </w:tc>
        <w:tc>
          <w:tcPr>
            <w:tcW w:w="2469" w:type="dxa"/>
            <w:tcBorders>
              <w:top w:val="nil"/>
              <w:left w:val="nil"/>
              <w:bottom w:val="nil"/>
              <w:right w:val="nil"/>
            </w:tcBorders>
            <w:noWrap/>
            <w:vAlign w:val="center"/>
          </w:tcPr>
          <w:p w14:paraId="633760C4"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units with formal, written risk assessment procedures</w:t>
            </w:r>
          </w:p>
        </w:tc>
        <w:tc>
          <w:tcPr>
            <w:tcW w:w="1281" w:type="dxa"/>
            <w:tcBorders>
              <w:top w:val="nil"/>
              <w:left w:val="nil"/>
              <w:bottom w:val="nil"/>
              <w:right w:val="nil"/>
            </w:tcBorders>
            <w:noWrap/>
            <w:vAlign w:val="center"/>
          </w:tcPr>
          <w:p w14:paraId="5E882A0D"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Nursing department records</w:t>
            </w:r>
          </w:p>
        </w:tc>
        <w:tc>
          <w:tcPr>
            <w:tcW w:w="1638" w:type="dxa"/>
            <w:tcBorders>
              <w:top w:val="nil"/>
              <w:left w:val="nil"/>
              <w:bottom w:val="nil"/>
              <w:right w:val="nil"/>
            </w:tcBorders>
            <w:noWrap/>
            <w:vAlign w:val="center"/>
          </w:tcPr>
          <w:p w14:paraId="28C20F50"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Quarterly</w:t>
            </w:r>
          </w:p>
        </w:tc>
      </w:tr>
      <w:tr w:rsidR="00E81B10" w:rsidRPr="00F05298" w14:paraId="5AF69073" w14:textId="77777777" w:rsidTr="007C0750">
        <w:trPr>
          <w:trHeight w:val="270"/>
          <w:jc w:val="center"/>
        </w:trPr>
        <w:tc>
          <w:tcPr>
            <w:tcW w:w="1228" w:type="dxa"/>
            <w:tcBorders>
              <w:top w:val="nil"/>
              <w:left w:val="nil"/>
              <w:bottom w:val="nil"/>
              <w:right w:val="nil"/>
            </w:tcBorders>
            <w:noWrap/>
            <w:vAlign w:val="center"/>
          </w:tcPr>
          <w:p w14:paraId="17226ED9"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I-1-3</w:t>
            </w:r>
          </w:p>
        </w:tc>
        <w:tc>
          <w:tcPr>
            <w:tcW w:w="1906" w:type="dxa"/>
            <w:tcBorders>
              <w:top w:val="nil"/>
              <w:left w:val="nil"/>
              <w:bottom w:val="nil"/>
              <w:right w:val="nil"/>
            </w:tcBorders>
            <w:noWrap/>
            <w:vAlign w:val="center"/>
          </w:tcPr>
          <w:p w14:paraId="1F032671"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Completeness rate of risk management systems and process</w:t>
            </w:r>
          </w:p>
        </w:tc>
        <w:tc>
          <w:tcPr>
            <w:tcW w:w="2469" w:type="dxa"/>
            <w:tcBorders>
              <w:top w:val="nil"/>
              <w:left w:val="nil"/>
              <w:bottom w:val="nil"/>
              <w:right w:val="nil"/>
            </w:tcBorders>
            <w:noWrap/>
            <w:vAlign w:val="center"/>
          </w:tcPr>
          <w:p w14:paraId="56E68BF3"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units with documented risk prevention and intervention protocols</w:t>
            </w:r>
          </w:p>
        </w:tc>
        <w:tc>
          <w:tcPr>
            <w:tcW w:w="1281" w:type="dxa"/>
            <w:tcBorders>
              <w:top w:val="nil"/>
              <w:left w:val="nil"/>
              <w:bottom w:val="nil"/>
              <w:right w:val="nil"/>
            </w:tcBorders>
            <w:noWrap/>
            <w:vAlign w:val="center"/>
          </w:tcPr>
          <w:p w14:paraId="6593CD61"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Nursing department records</w:t>
            </w:r>
          </w:p>
        </w:tc>
        <w:tc>
          <w:tcPr>
            <w:tcW w:w="1638" w:type="dxa"/>
            <w:tcBorders>
              <w:top w:val="nil"/>
              <w:left w:val="nil"/>
              <w:bottom w:val="nil"/>
              <w:right w:val="nil"/>
            </w:tcBorders>
            <w:noWrap/>
            <w:vAlign w:val="center"/>
          </w:tcPr>
          <w:p w14:paraId="723AF5DA"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Quarterly</w:t>
            </w:r>
          </w:p>
        </w:tc>
      </w:tr>
      <w:tr w:rsidR="00E81B10" w:rsidRPr="00F05298" w14:paraId="0E8B4A69" w14:textId="77777777" w:rsidTr="007C0750">
        <w:trPr>
          <w:trHeight w:val="270"/>
          <w:jc w:val="center"/>
        </w:trPr>
        <w:tc>
          <w:tcPr>
            <w:tcW w:w="1228" w:type="dxa"/>
            <w:tcBorders>
              <w:top w:val="nil"/>
              <w:left w:val="nil"/>
              <w:bottom w:val="nil"/>
              <w:right w:val="nil"/>
            </w:tcBorders>
            <w:noWrap/>
            <w:vAlign w:val="center"/>
          </w:tcPr>
          <w:p w14:paraId="4010671E"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I-1-4</w:t>
            </w:r>
          </w:p>
        </w:tc>
        <w:tc>
          <w:tcPr>
            <w:tcW w:w="1906" w:type="dxa"/>
            <w:tcBorders>
              <w:top w:val="nil"/>
              <w:left w:val="nil"/>
              <w:bottom w:val="nil"/>
              <w:right w:val="nil"/>
            </w:tcBorders>
            <w:noWrap/>
            <w:vAlign w:val="center"/>
          </w:tcPr>
          <w:p w14:paraId="5050AD7C"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Completeness rate of multidisciplinary team management system</w:t>
            </w:r>
          </w:p>
        </w:tc>
        <w:tc>
          <w:tcPr>
            <w:tcW w:w="2469" w:type="dxa"/>
            <w:tcBorders>
              <w:top w:val="nil"/>
              <w:left w:val="nil"/>
              <w:bottom w:val="nil"/>
              <w:right w:val="nil"/>
            </w:tcBorders>
            <w:noWrap/>
            <w:vAlign w:val="center"/>
          </w:tcPr>
          <w:p w14:paraId="421C41BE"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units with documented multidisciplinary collaboration protocols (including roles, responsibilities, communication pathways)</w:t>
            </w:r>
          </w:p>
        </w:tc>
        <w:tc>
          <w:tcPr>
            <w:tcW w:w="1281" w:type="dxa"/>
            <w:tcBorders>
              <w:top w:val="nil"/>
              <w:left w:val="nil"/>
              <w:bottom w:val="nil"/>
              <w:right w:val="nil"/>
            </w:tcBorders>
            <w:noWrap/>
            <w:vAlign w:val="center"/>
          </w:tcPr>
          <w:p w14:paraId="5112EBBE"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Meeting minutes; department records</w:t>
            </w:r>
          </w:p>
        </w:tc>
        <w:tc>
          <w:tcPr>
            <w:tcW w:w="1638" w:type="dxa"/>
            <w:tcBorders>
              <w:top w:val="nil"/>
              <w:left w:val="nil"/>
              <w:bottom w:val="nil"/>
              <w:right w:val="nil"/>
            </w:tcBorders>
            <w:noWrap/>
            <w:vAlign w:val="center"/>
          </w:tcPr>
          <w:p w14:paraId="5DEAAA12"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Quarterly</w:t>
            </w:r>
          </w:p>
        </w:tc>
      </w:tr>
      <w:tr w:rsidR="00E81B10" w:rsidRPr="00F05298" w14:paraId="503B7746" w14:textId="77777777" w:rsidTr="007C0750">
        <w:trPr>
          <w:trHeight w:val="270"/>
          <w:jc w:val="center"/>
        </w:trPr>
        <w:tc>
          <w:tcPr>
            <w:tcW w:w="1228" w:type="dxa"/>
            <w:tcBorders>
              <w:top w:val="nil"/>
              <w:left w:val="nil"/>
              <w:bottom w:val="nil"/>
              <w:right w:val="nil"/>
            </w:tcBorders>
            <w:noWrap/>
            <w:vAlign w:val="center"/>
          </w:tcPr>
          <w:p w14:paraId="10B257C5"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I-2-1</w:t>
            </w:r>
          </w:p>
        </w:tc>
        <w:tc>
          <w:tcPr>
            <w:tcW w:w="1906" w:type="dxa"/>
            <w:tcBorders>
              <w:top w:val="nil"/>
              <w:left w:val="nil"/>
              <w:bottom w:val="nil"/>
              <w:right w:val="nil"/>
            </w:tcBorders>
            <w:noWrap/>
            <w:vAlign w:val="center"/>
          </w:tcPr>
          <w:p w14:paraId="24DDC7D5"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Completeness rate of risk assessment tools</w:t>
            </w:r>
          </w:p>
        </w:tc>
        <w:tc>
          <w:tcPr>
            <w:tcW w:w="2469" w:type="dxa"/>
            <w:tcBorders>
              <w:top w:val="nil"/>
              <w:left w:val="nil"/>
              <w:bottom w:val="nil"/>
              <w:right w:val="nil"/>
            </w:tcBorders>
            <w:noWrap/>
            <w:vAlign w:val="center"/>
          </w:tcPr>
          <w:p w14:paraId="6B47F0BF"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required risk assessment tools (e.g., GUSS, water swallow test, nutritional screening) available and accessible on the unit</w:t>
            </w:r>
          </w:p>
        </w:tc>
        <w:tc>
          <w:tcPr>
            <w:tcW w:w="1281" w:type="dxa"/>
            <w:tcBorders>
              <w:top w:val="nil"/>
              <w:left w:val="nil"/>
              <w:bottom w:val="nil"/>
              <w:right w:val="nil"/>
            </w:tcBorders>
            <w:noWrap/>
            <w:vAlign w:val="center"/>
          </w:tcPr>
          <w:p w14:paraId="41EBBC55"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Direct observation; inventory checklist</w:t>
            </w:r>
          </w:p>
        </w:tc>
        <w:tc>
          <w:tcPr>
            <w:tcW w:w="1638" w:type="dxa"/>
            <w:tcBorders>
              <w:top w:val="nil"/>
              <w:left w:val="nil"/>
              <w:bottom w:val="nil"/>
              <w:right w:val="nil"/>
            </w:tcBorders>
            <w:noWrap/>
            <w:vAlign w:val="center"/>
          </w:tcPr>
          <w:p w14:paraId="0BA4E6EB"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6FDB6231" w14:textId="77777777" w:rsidTr="007C0750">
        <w:trPr>
          <w:trHeight w:val="270"/>
          <w:jc w:val="center"/>
        </w:trPr>
        <w:tc>
          <w:tcPr>
            <w:tcW w:w="1228" w:type="dxa"/>
            <w:tcBorders>
              <w:top w:val="nil"/>
              <w:left w:val="nil"/>
              <w:bottom w:val="nil"/>
              <w:right w:val="nil"/>
            </w:tcBorders>
            <w:noWrap/>
            <w:vAlign w:val="center"/>
          </w:tcPr>
          <w:p w14:paraId="145B9139"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I-2-2</w:t>
            </w:r>
          </w:p>
        </w:tc>
        <w:tc>
          <w:tcPr>
            <w:tcW w:w="1906" w:type="dxa"/>
            <w:tcBorders>
              <w:top w:val="nil"/>
              <w:left w:val="nil"/>
              <w:bottom w:val="nil"/>
              <w:right w:val="nil"/>
            </w:tcBorders>
            <w:noWrap/>
            <w:vAlign w:val="center"/>
          </w:tcPr>
          <w:p w14:paraId="17DEF48D"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Completeness rate of multidisciplinary resource allocation</w:t>
            </w:r>
          </w:p>
        </w:tc>
        <w:tc>
          <w:tcPr>
            <w:tcW w:w="2469" w:type="dxa"/>
            <w:tcBorders>
              <w:top w:val="nil"/>
              <w:left w:val="nil"/>
              <w:bottom w:val="nil"/>
              <w:right w:val="nil"/>
            </w:tcBorders>
            <w:noWrap/>
            <w:vAlign w:val="center"/>
          </w:tcPr>
          <w:p w14:paraId="5F588B94"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required personnel (speech-language therapist, dietitian, rehabilitation therapist, etc.) available and assigned to the unit</w:t>
            </w:r>
          </w:p>
        </w:tc>
        <w:tc>
          <w:tcPr>
            <w:tcW w:w="1281" w:type="dxa"/>
            <w:tcBorders>
              <w:top w:val="nil"/>
              <w:left w:val="nil"/>
              <w:bottom w:val="nil"/>
              <w:right w:val="nil"/>
            </w:tcBorders>
            <w:noWrap/>
            <w:vAlign w:val="center"/>
          </w:tcPr>
          <w:p w14:paraId="62EF9C1B"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Staff roster; HR records</w:t>
            </w:r>
          </w:p>
        </w:tc>
        <w:tc>
          <w:tcPr>
            <w:tcW w:w="1638" w:type="dxa"/>
            <w:tcBorders>
              <w:top w:val="nil"/>
              <w:left w:val="nil"/>
              <w:bottom w:val="nil"/>
              <w:right w:val="nil"/>
            </w:tcBorders>
            <w:noWrap/>
            <w:vAlign w:val="center"/>
          </w:tcPr>
          <w:p w14:paraId="1D44B4DE"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27EAAB41" w14:textId="77777777" w:rsidTr="007C0750">
        <w:trPr>
          <w:trHeight w:val="270"/>
          <w:jc w:val="center"/>
        </w:trPr>
        <w:tc>
          <w:tcPr>
            <w:tcW w:w="1228" w:type="dxa"/>
            <w:tcBorders>
              <w:top w:val="nil"/>
              <w:left w:val="nil"/>
              <w:bottom w:val="nil"/>
              <w:right w:val="nil"/>
            </w:tcBorders>
            <w:noWrap/>
            <w:vAlign w:val="center"/>
          </w:tcPr>
          <w:p w14:paraId="4E52DED2"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lastRenderedPageBreak/>
              <w:t>I-2-3</w:t>
            </w:r>
          </w:p>
        </w:tc>
        <w:tc>
          <w:tcPr>
            <w:tcW w:w="1906" w:type="dxa"/>
            <w:tcBorders>
              <w:top w:val="nil"/>
              <w:left w:val="nil"/>
              <w:bottom w:val="nil"/>
              <w:right w:val="nil"/>
            </w:tcBorders>
            <w:noWrap/>
            <w:vAlign w:val="center"/>
          </w:tcPr>
          <w:p w14:paraId="5C3B0337"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Completeness rate of equipment availability</w:t>
            </w:r>
          </w:p>
        </w:tc>
        <w:tc>
          <w:tcPr>
            <w:tcW w:w="2469" w:type="dxa"/>
            <w:tcBorders>
              <w:top w:val="nil"/>
              <w:left w:val="nil"/>
              <w:bottom w:val="nil"/>
              <w:right w:val="nil"/>
            </w:tcBorders>
            <w:noWrap/>
            <w:vAlign w:val="center"/>
          </w:tcPr>
          <w:p w14:paraId="5EF74885"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required equipment (e.g., thickened liquids, feeding pumps, pulse oximeters, suction devices) available and functional</w:t>
            </w:r>
          </w:p>
        </w:tc>
        <w:tc>
          <w:tcPr>
            <w:tcW w:w="1281" w:type="dxa"/>
            <w:tcBorders>
              <w:top w:val="nil"/>
              <w:left w:val="nil"/>
              <w:bottom w:val="nil"/>
              <w:right w:val="nil"/>
            </w:tcBorders>
            <w:noWrap/>
            <w:vAlign w:val="center"/>
          </w:tcPr>
          <w:p w14:paraId="4FA5F39A"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Inventory checklist; equipment log</w:t>
            </w:r>
          </w:p>
        </w:tc>
        <w:tc>
          <w:tcPr>
            <w:tcW w:w="1638" w:type="dxa"/>
            <w:tcBorders>
              <w:top w:val="nil"/>
              <w:left w:val="nil"/>
              <w:bottom w:val="nil"/>
              <w:right w:val="nil"/>
            </w:tcBorders>
            <w:noWrap/>
            <w:vAlign w:val="center"/>
          </w:tcPr>
          <w:p w14:paraId="2C7F3A41"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30349260" w14:textId="77777777" w:rsidTr="007C0750">
        <w:trPr>
          <w:trHeight w:val="270"/>
          <w:jc w:val="center"/>
        </w:trPr>
        <w:tc>
          <w:tcPr>
            <w:tcW w:w="1228" w:type="dxa"/>
            <w:tcBorders>
              <w:top w:val="nil"/>
              <w:left w:val="nil"/>
              <w:bottom w:val="nil"/>
              <w:right w:val="nil"/>
            </w:tcBorders>
            <w:noWrap/>
            <w:vAlign w:val="center"/>
          </w:tcPr>
          <w:p w14:paraId="70B895B5"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I-3-1</w:t>
            </w:r>
          </w:p>
        </w:tc>
        <w:tc>
          <w:tcPr>
            <w:tcW w:w="1906" w:type="dxa"/>
            <w:tcBorders>
              <w:top w:val="nil"/>
              <w:left w:val="nil"/>
              <w:bottom w:val="nil"/>
              <w:right w:val="nil"/>
            </w:tcBorders>
            <w:noWrap/>
            <w:vAlign w:val="center"/>
          </w:tcPr>
          <w:p w14:paraId="74542A53"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Completion rate of dysphagia nursing training</w:t>
            </w:r>
          </w:p>
        </w:tc>
        <w:tc>
          <w:tcPr>
            <w:tcW w:w="2469" w:type="dxa"/>
            <w:tcBorders>
              <w:top w:val="nil"/>
              <w:left w:val="nil"/>
              <w:bottom w:val="nil"/>
              <w:right w:val="nil"/>
            </w:tcBorders>
            <w:noWrap/>
            <w:vAlign w:val="center"/>
          </w:tcPr>
          <w:p w14:paraId="5BE8AFCE"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nurses who have completed basic dysphagia training (≥ 2 hours of didactic content)</w:t>
            </w:r>
          </w:p>
        </w:tc>
        <w:tc>
          <w:tcPr>
            <w:tcW w:w="1281" w:type="dxa"/>
            <w:tcBorders>
              <w:top w:val="nil"/>
              <w:left w:val="nil"/>
              <w:bottom w:val="nil"/>
              <w:right w:val="nil"/>
            </w:tcBorders>
            <w:noWrap/>
            <w:vAlign w:val="center"/>
          </w:tcPr>
          <w:p w14:paraId="08AD6335"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Training records; certificates</w:t>
            </w:r>
          </w:p>
        </w:tc>
        <w:tc>
          <w:tcPr>
            <w:tcW w:w="1638" w:type="dxa"/>
            <w:tcBorders>
              <w:top w:val="nil"/>
              <w:left w:val="nil"/>
              <w:bottom w:val="nil"/>
              <w:right w:val="nil"/>
            </w:tcBorders>
            <w:noWrap/>
            <w:vAlign w:val="center"/>
          </w:tcPr>
          <w:p w14:paraId="7EC394E8"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Annually</w:t>
            </w:r>
          </w:p>
        </w:tc>
      </w:tr>
      <w:tr w:rsidR="00E81B10" w:rsidRPr="00F05298" w14:paraId="0DF71422" w14:textId="77777777" w:rsidTr="007C0750">
        <w:trPr>
          <w:trHeight w:val="270"/>
          <w:jc w:val="center"/>
        </w:trPr>
        <w:tc>
          <w:tcPr>
            <w:tcW w:w="1228" w:type="dxa"/>
            <w:tcBorders>
              <w:top w:val="nil"/>
              <w:left w:val="nil"/>
              <w:bottom w:val="nil"/>
              <w:right w:val="nil"/>
            </w:tcBorders>
            <w:noWrap/>
            <w:vAlign w:val="center"/>
          </w:tcPr>
          <w:p w14:paraId="6BE03DB8"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I-3-2</w:t>
            </w:r>
          </w:p>
        </w:tc>
        <w:tc>
          <w:tcPr>
            <w:tcW w:w="1906" w:type="dxa"/>
            <w:tcBorders>
              <w:top w:val="nil"/>
              <w:left w:val="nil"/>
              <w:bottom w:val="nil"/>
              <w:right w:val="nil"/>
            </w:tcBorders>
            <w:noWrap/>
            <w:vAlign w:val="center"/>
          </w:tcPr>
          <w:p w14:paraId="14ACBBAD"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Completion rate of specialist nurse training programs</w:t>
            </w:r>
          </w:p>
        </w:tc>
        <w:tc>
          <w:tcPr>
            <w:tcW w:w="2469" w:type="dxa"/>
            <w:tcBorders>
              <w:top w:val="nil"/>
              <w:left w:val="nil"/>
              <w:bottom w:val="nil"/>
              <w:right w:val="nil"/>
            </w:tcBorders>
            <w:noWrap/>
            <w:vAlign w:val="center"/>
          </w:tcPr>
          <w:p w14:paraId="41A88AD4"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nurses who have completed advanced/specialist dysphagia training (e.g., certified dysphagia nurse)</w:t>
            </w:r>
          </w:p>
        </w:tc>
        <w:tc>
          <w:tcPr>
            <w:tcW w:w="1281" w:type="dxa"/>
            <w:tcBorders>
              <w:top w:val="nil"/>
              <w:left w:val="nil"/>
              <w:bottom w:val="nil"/>
              <w:right w:val="nil"/>
            </w:tcBorders>
            <w:noWrap/>
            <w:vAlign w:val="center"/>
          </w:tcPr>
          <w:p w14:paraId="79E2BC95"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Training certificates</w:t>
            </w:r>
          </w:p>
        </w:tc>
        <w:tc>
          <w:tcPr>
            <w:tcW w:w="1638" w:type="dxa"/>
            <w:tcBorders>
              <w:top w:val="nil"/>
              <w:left w:val="nil"/>
              <w:bottom w:val="nil"/>
              <w:right w:val="nil"/>
            </w:tcBorders>
            <w:noWrap/>
            <w:vAlign w:val="center"/>
          </w:tcPr>
          <w:p w14:paraId="0A698A9B"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Annually</w:t>
            </w:r>
          </w:p>
        </w:tc>
      </w:tr>
      <w:tr w:rsidR="00E81B10" w:rsidRPr="00F05298" w14:paraId="07E76BD6" w14:textId="77777777" w:rsidTr="007C0750">
        <w:trPr>
          <w:trHeight w:val="270"/>
          <w:jc w:val="center"/>
        </w:trPr>
        <w:tc>
          <w:tcPr>
            <w:tcW w:w="1228" w:type="dxa"/>
            <w:tcBorders>
              <w:top w:val="nil"/>
              <w:left w:val="nil"/>
              <w:bottom w:val="nil"/>
              <w:right w:val="nil"/>
            </w:tcBorders>
            <w:noWrap/>
            <w:vAlign w:val="center"/>
          </w:tcPr>
          <w:p w14:paraId="5ACC1C30"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I-3-3</w:t>
            </w:r>
          </w:p>
        </w:tc>
        <w:tc>
          <w:tcPr>
            <w:tcW w:w="1906" w:type="dxa"/>
            <w:tcBorders>
              <w:top w:val="nil"/>
              <w:left w:val="nil"/>
              <w:bottom w:val="nil"/>
              <w:right w:val="nil"/>
            </w:tcBorders>
            <w:noWrap/>
            <w:vAlign w:val="center"/>
          </w:tcPr>
          <w:p w14:paraId="63625459"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Implementation rate of dysphagia nursing theory training</w:t>
            </w:r>
          </w:p>
        </w:tc>
        <w:tc>
          <w:tcPr>
            <w:tcW w:w="2469" w:type="dxa"/>
            <w:tcBorders>
              <w:top w:val="nil"/>
              <w:left w:val="nil"/>
              <w:bottom w:val="nil"/>
              <w:right w:val="nil"/>
            </w:tcBorders>
            <w:noWrap/>
            <w:vAlign w:val="center"/>
          </w:tcPr>
          <w:p w14:paraId="4E4ABE49"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scheduled theory training sessions that were actually conducted as planned</w:t>
            </w:r>
          </w:p>
        </w:tc>
        <w:tc>
          <w:tcPr>
            <w:tcW w:w="1281" w:type="dxa"/>
            <w:tcBorders>
              <w:top w:val="nil"/>
              <w:left w:val="nil"/>
              <w:bottom w:val="nil"/>
              <w:right w:val="nil"/>
            </w:tcBorders>
            <w:noWrap/>
            <w:vAlign w:val="center"/>
          </w:tcPr>
          <w:p w14:paraId="2472DC33"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Training logs; attendance records</w:t>
            </w:r>
          </w:p>
        </w:tc>
        <w:tc>
          <w:tcPr>
            <w:tcW w:w="1638" w:type="dxa"/>
            <w:tcBorders>
              <w:top w:val="nil"/>
              <w:left w:val="nil"/>
              <w:bottom w:val="nil"/>
              <w:right w:val="nil"/>
            </w:tcBorders>
            <w:noWrap/>
            <w:vAlign w:val="center"/>
          </w:tcPr>
          <w:p w14:paraId="657656A9"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575F4257" w14:textId="77777777" w:rsidTr="007C0750">
        <w:trPr>
          <w:trHeight w:val="270"/>
          <w:jc w:val="center"/>
        </w:trPr>
        <w:tc>
          <w:tcPr>
            <w:tcW w:w="1228" w:type="dxa"/>
            <w:tcBorders>
              <w:top w:val="nil"/>
              <w:left w:val="nil"/>
              <w:bottom w:val="nil"/>
              <w:right w:val="nil"/>
            </w:tcBorders>
            <w:noWrap/>
            <w:vAlign w:val="center"/>
          </w:tcPr>
          <w:p w14:paraId="5420AD6F"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I-3-4</w:t>
            </w:r>
          </w:p>
        </w:tc>
        <w:tc>
          <w:tcPr>
            <w:tcW w:w="1906" w:type="dxa"/>
            <w:tcBorders>
              <w:top w:val="nil"/>
              <w:left w:val="nil"/>
              <w:bottom w:val="nil"/>
              <w:right w:val="nil"/>
            </w:tcBorders>
            <w:noWrap/>
            <w:vAlign w:val="center"/>
          </w:tcPr>
          <w:p w14:paraId="04AA5A1D"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Implementation rate of practical dysphagia nursing skills training</w:t>
            </w:r>
          </w:p>
        </w:tc>
        <w:tc>
          <w:tcPr>
            <w:tcW w:w="2469" w:type="dxa"/>
            <w:tcBorders>
              <w:top w:val="nil"/>
              <w:left w:val="nil"/>
              <w:bottom w:val="nil"/>
              <w:right w:val="nil"/>
            </w:tcBorders>
            <w:noWrap/>
            <w:vAlign w:val="center"/>
          </w:tcPr>
          <w:p w14:paraId="164FB566"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scheduled practical/ skills training sessions that were actually conducted</w:t>
            </w:r>
          </w:p>
        </w:tc>
        <w:tc>
          <w:tcPr>
            <w:tcW w:w="1281" w:type="dxa"/>
            <w:tcBorders>
              <w:top w:val="nil"/>
              <w:left w:val="nil"/>
              <w:bottom w:val="nil"/>
              <w:right w:val="nil"/>
            </w:tcBorders>
            <w:noWrap/>
            <w:vAlign w:val="center"/>
          </w:tcPr>
          <w:p w14:paraId="0AEEB9A3"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Training logs; simulation records</w:t>
            </w:r>
          </w:p>
        </w:tc>
        <w:tc>
          <w:tcPr>
            <w:tcW w:w="1638" w:type="dxa"/>
            <w:tcBorders>
              <w:top w:val="nil"/>
              <w:left w:val="nil"/>
              <w:bottom w:val="nil"/>
              <w:right w:val="nil"/>
            </w:tcBorders>
            <w:noWrap/>
            <w:vAlign w:val="center"/>
          </w:tcPr>
          <w:p w14:paraId="035462CF"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0F4839EC" w14:textId="77777777" w:rsidTr="007C0750">
        <w:trPr>
          <w:trHeight w:val="270"/>
          <w:jc w:val="center"/>
        </w:trPr>
        <w:tc>
          <w:tcPr>
            <w:tcW w:w="1228" w:type="dxa"/>
            <w:tcBorders>
              <w:top w:val="nil"/>
              <w:left w:val="nil"/>
              <w:bottom w:val="nil"/>
              <w:right w:val="nil"/>
            </w:tcBorders>
            <w:noWrap/>
            <w:vAlign w:val="center"/>
          </w:tcPr>
          <w:p w14:paraId="7C80E4B6"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I-3-5</w:t>
            </w:r>
          </w:p>
        </w:tc>
        <w:tc>
          <w:tcPr>
            <w:tcW w:w="1906" w:type="dxa"/>
            <w:tcBorders>
              <w:top w:val="nil"/>
              <w:left w:val="nil"/>
              <w:bottom w:val="nil"/>
              <w:right w:val="nil"/>
            </w:tcBorders>
            <w:noWrap/>
            <w:vAlign w:val="center"/>
          </w:tcPr>
          <w:p w14:paraId="77D31A8B"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Implementation rate of emergency plan drill training</w:t>
            </w:r>
          </w:p>
        </w:tc>
        <w:tc>
          <w:tcPr>
            <w:tcW w:w="2469" w:type="dxa"/>
            <w:tcBorders>
              <w:top w:val="nil"/>
              <w:left w:val="nil"/>
              <w:bottom w:val="nil"/>
              <w:right w:val="nil"/>
            </w:tcBorders>
            <w:noWrap/>
            <w:vAlign w:val="center"/>
          </w:tcPr>
          <w:p w14:paraId="78AE2D38"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scheduled emergency drills (e.g., choking, aspiration, asphyxia) that were actually conducted</w:t>
            </w:r>
          </w:p>
        </w:tc>
        <w:tc>
          <w:tcPr>
            <w:tcW w:w="1281" w:type="dxa"/>
            <w:tcBorders>
              <w:top w:val="nil"/>
              <w:left w:val="nil"/>
              <w:bottom w:val="nil"/>
              <w:right w:val="nil"/>
            </w:tcBorders>
            <w:noWrap/>
            <w:vAlign w:val="center"/>
          </w:tcPr>
          <w:p w14:paraId="4D09BEBF"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Drill records; safety logs</w:t>
            </w:r>
          </w:p>
        </w:tc>
        <w:tc>
          <w:tcPr>
            <w:tcW w:w="1638" w:type="dxa"/>
            <w:tcBorders>
              <w:top w:val="nil"/>
              <w:left w:val="nil"/>
              <w:bottom w:val="nil"/>
              <w:right w:val="nil"/>
            </w:tcBorders>
            <w:noWrap/>
            <w:vAlign w:val="center"/>
          </w:tcPr>
          <w:p w14:paraId="09E7738A"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Quarterly</w:t>
            </w:r>
          </w:p>
        </w:tc>
      </w:tr>
      <w:tr w:rsidR="00E81B10" w:rsidRPr="00F05298" w14:paraId="31E98D0D" w14:textId="77777777" w:rsidTr="007C0750">
        <w:trPr>
          <w:trHeight w:val="270"/>
          <w:jc w:val="center"/>
        </w:trPr>
        <w:tc>
          <w:tcPr>
            <w:tcW w:w="1228" w:type="dxa"/>
            <w:tcBorders>
              <w:top w:val="nil"/>
              <w:left w:val="nil"/>
              <w:bottom w:val="nil"/>
              <w:right w:val="nil"/>
            </w:tcBorders>
            <w:noWrap/>
            <w:vAlign w:val="center"/>
          </w:tcPr>
          <w:p w14:paraId="60E2BC78"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II-1-1</w:t>
            </w:r>
          </w:p>
        </w:tc>
        <w:tc>
          <w:tcPr>
            <w:tcW w:w="1906" w:type="dxa"/>
            <w:tcBorders>
              <w:top w:val="nil"/>
              <w:left w:val="nil"/>
              <w:bottom w:val="nil"/>
              <w:right w:val="nil"/>
            </w:tcBorders>
            <w:noWrap/>
            <w:vAlign w:val="center"/>
          </w:tcPr>
          <w:p w14:paraId="75652819"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Accuracy rate of timing for bedside dysphagia assessment</w:t>
            </w:r>
          </w:p>
        </w:tc>
        <w:tc>
          <w:tcPr>
            <w:tcW w:w="2469" w:type="dxa"/>
            <w:tcBorders>
              <w:top w:val="nil"/>
              <w:left w:val="nil"/>
              <w:bottom w:val="nil"/>
              <w:right w:val="nil"/>
            </w:tcBorders>
            <w:noWrap/>
            <w:vAlign w:val="center"/>
          </w:tcPr>
          <w:p w14:paraId="44C0457C"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patients who received bedside dysphagia assessment within the recommended time window (e.g., within 24 hours of admission or stroke diagnosis)</w:t>
            </w:r>
          </w:p>
        </w:tc>
        <w:tc>
          <w:tcPr>
            <w:tcW w:w="1281" w:type="dxa"/>
            <w:tcBorders>
              <w:top w:val="nil"/>
              <w:left w:val="nil"/>
              <w:bottom w:val="nil"/>
              <w:right w:val="nil"/>
            </w:tcBorders>
            <w:noWrap/>
            <w:vAlign w:val="center"/>
          </w:tcPr>
          <w:p w14:paraId="1F36905F"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Medical record audit; nursing notes</w:t>
            </w:r>
          </w:p>
        </w:tc>
        <w:tc>
          <w:tcPr>
            <w:tcW w:w="1638" w:type="dxa"/>
            <w:tcBorders>
              <w:top w:val="nil"/>
              <w:left w:val="nil"/>
              <w:bottom w:val="nil"/>
              <w:right w:val="nil"/>
            </w:tcBorders>
            <w:noWrap/>
            <w:vAlign w:val="center"/>
          </w:tcPr>
          <w:p w14:paraId="0B4D5CB0"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4A86097D" w14:textId="77777777" w:rsidTr="007C0750">
        <w:trPr>
          <w:trHeight w:val="270"/>
          <w:jc w:val="center"/>
        </w:trPr>
        <w:tc>
          <w:tcPr>
            <w:tcW w:w="1228" w:type="dxa"/>
            <w:tcBorders>
              <w:top w:val="nil"/>
              <w:left w:val="nil"/>
              <w:bottom w:val="nil"/>
              <w:right w:val="nil"/>
            </w:tcBorders>
            <w:noWrap/>
            <w:vAlign w:val="center"/>
          </w:tcPr>
          <w:p w14:paraId="67D4FFA4"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lastRenderedPageBreak/>
              <w:t>II-1-2</w:t>
            </w:r>
          </w:p>
        </w:tc>
        <w:tc>
          <w:tcPr>
            <w:tcW w:w="1906" w:type="dxa"/>
            <w:tcBorders>
              <w:top w:val="nil"/>
              <w:left w:val="nil"/>
              <w:bottom w:val="nil"/>
              <w:right w:val="nil"/>
            </w:tcBorders>
            <w:noWrap/>
            <w:vAlign w:val="center"/>
          </w:tcPr>
          <w:p w14:paraId="71602133"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Accuracy rate of using dysphagia screening tools</w:t>
            </w:r>
          </w:p>
        </w:tc>
        <w:tc>
          <w:tcPr>
            <w:tcW w:w="2469" w:type="dxa"/>
            <w:tcBorders>
              <w:top w:val="nil"/>
              <w:left w:val="nil"/>
              <w:bottom w:val="nil"/>
              <w:right w:val="nil"/>
            </w:tcBorders>
            <w:noWrap/>
            <w:vAlign w:val="center"/>
          </w:tcPr>
          <w:p w14:paraId="0FE68D94"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patients screened using a validated dysphagia screening tool (e.g., GUSS, 3-oz water test, EAT-10)</w:t>
            </w:r>
          </w:p>
        </w:tc>
        <w:tc>
          <w:tcPr>
            <w:tcW w:w="1281" w:type="dxa"/>
            <w:tcBorders>
              <w:top w:val="nil"/>
              <w:left w:val="nil"/>
              <w:bottom w:val="nil"/>
              <w:right w:val="nil"/>
            </w:tcBorders>
            <w:noWrap/>
            <w:vAlign w:val="center"/>
          </w:tcPr>
          <w:p w14:paraId="1AD2178C"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Medical record audit</w:t>
            </w:r>
          </w:p>
        </w:tc>
        <w:tc>
          <w:tcPr>
            <w:tcW w:w="1638" w:type="dxa"/>
            <w:tcBorders>
              <w:top w:val="nil"/>
              <w:left w:val="nil"/>
              <w:bottom w:val="nil"/>
              <w:right w:val="nil"/>
            </w:tcBorders>
            <w:noWrap/>
            <w:vAlign w:val="center"/>
          </w:tcPr>
          <w:p w14:paraId="08DE12DB"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46CF44B2" w14:textId="77777777" w:rsidTr="007C0750">
        <w:trPr>
          <w:trHeight w:val="270"/>
          <w:jc w:val="center"/>
        </w:trPr>
        <w:tc>
          <w:tcPr>
            <w:tcW w:w="1228" w:type="dxa"/>
            <w:tcBorders>
              <w:top w:val="nil"/>
              <w:left w:val="nil"/>
              <w:bottom w:val="nil"/>
              <w:right w:val="nil"/>
            </w:tcBorders>
            <w:noWrap/>
            <w:vAlign w:val="center"/>
          </w:tcPr>
          <w:p w14:paraId="1326E784"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II-1-3</w:t>
            </w:r>
          </w:p>
        </w:tc>
        <w:tc>
          <w:tcPr>
            <w:tcW w:w="1906" w:type="dxa"/>
            <w:tcBorders>
              <w:top w:val="nil"/>
              <w:left w:val="nil"/>
              <w:bottom w:val="nil"/>
              <w:right w:val="nil"/>
            </w:tcBorders>
            <w:noWrap/>
            <w:vAlign w:val="center"/>
          </w:tcPr>
          <w:p w14:paraId="568C6408"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Accuracy rate of dysphagia assessment process implementation</w:t>
            </w:r>
          </w:p>
        </w:tc>
        <w:tc>
          <w:tcPr>
            <w:tcW w:w="2469" w:type="dxa"/>
            <w:tcBorders>
              <w:top w:val="nil"/>
              <w:left w:val="nil"/>
              <w:bottom w:val="nil"/>
              <w:right w:val="nil"/>
            </w:tcBorders>
            <w:noWrap/>
            <w:vAlign w:val="center"/>
          </w:tcPr>
          <w:p w14:paraId="62E65FC5"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patients who received a complete dysphagia assessment per protocol (including screening, clinical evaluation, and referral if indicated)</w:t>
            </w:r>
          </w:p>
        </w:tc>
        <w:tc>
          <w:tcPr>
            <w:tcW w:w="1281" w:type="dxa"/>
            <w:tcBorders>
              <w:top w:val="nil"/>
              <w:left w:val="nil"/>
              <w:bottom w:val="nil"/>
              <w:right w:val="nil"/>
            </w:tcBorders>
            <w:noWrap/>
            <w:vAlign w:val="center"/>
          </w:tcPr>
          <w:p w14:paraId="3AF4F2BE"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Medical record audit</w:t>
            </w:r>
          </w:p>
        </w:tc>
        <w:tc>
          <w:tcPr>
            <w:tcW w:w="1638" w:type="dxa"/>
            <w:tcBorders>
              <w:top w:val="nil"/>
              <w:left w:val="nil"/>
              <w:bottom w:val="nil"/>
              <w:right w:val="nil"/>
            </w:tcBorders>
            <w:noWrap/>
            <w:vAlign w:val="center"/>
          </w:tcPr>
          <w:p w14:paraId="62112542"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2E5897C2" w14:textId="77777777" w:rsidTr="007C0750">
        <w:trPr>
          <w:trHeight w:val="270"/>
          <w:jc w:val="center"/>
        </w:trPr>
        <w:tc>
          <w:tcPr>
            <w:tcW w:w="1228" w:type="dxa"/>
            <w:tcBorders>
              <w:top w:val="nil"/>
              <w:left w:val="nil"/>
              <w:bottom w:val="nil"/>
              <w:right w:val="nil"/>
            </w:tcBorders>
            <w:noWrap/>
            <w:vAlign w:val="center"/>
          </w:tcPr>
          <w:p w14:paraId="188B33D6"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II-1-4</w:t>
            </w:r>
          </w:p>
        </w:tc>
        <w:tc>
          <w:tcPr>
            <w:tcW w:w="1906" w:type="dxa"/>
            <w:tcBorders>
              <w:top w:val="nil"/>
              <w:left w:val="nil"/>
              <w:bottom w:val="nil"/>
              <w:right w:val="nil"/>
            </w:tcBorders>
            <w:noWrap/>
            <w:vAlign w:val="center"/>
          </w:tcPr>
          <w:p w14:paraId="2F50640C"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Accuracy rate of malnutrition risk assessment implementation</w:t>
            </w:r>
          </w:p>
        </w:tc>
        <w:tc>
          <w:tcPr>
            <w:tcW w:w="2469" w:type="dxa"/>
            <w:tcBorders>
              <w:top w:val="nil"/>
              <w:left w:val="nil"/>
              <w:bottom w:val="nil"/>
              <w:right w:val="nil"/>
            </w:tcBorders>
            <w:noWrap/>
            <w:vAlign w:val="center"/>
          </w:tcPr>
          <w:p w14:paraId="3A1AE8E4"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patients screened for malnutrition risk using a validated tool (e.g., NRS-2002, MUST, MNA)</w:t>
            </w:r>
          </w:p>
        </w:tc>
        <w:tc>
          <w:tcPr>
            <w:tcW w:w="1281" w:type="dxa"/>
            <w:tcBorders>
              <w:top w:val="nil"/>
              <w:left w:val="nil"/>
              <w:bottom w:val="nil"/>
              <w:right w:val="nil"/>
            </w:tcBorders>
            <w:noWrap/>
            <w:vAlign w:val="center"/>
          </w:tcPr>
          <w:p w14:paraId="35654613"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Medical record audit</w:t>
            </w:r>
          </w:p>
        </w:tc>
        <w:tc>
          <w:tcPr>
            <w:tcW w:w="1638" w:type="dxa"/>
            <w:tcBorders>
              <w:top w:val="nil"/>
              <w:left w:val="nil"/>
              <w:bottom w:val="nil"/>
              <w:right w:val="nil"/>
            </w:tcBorders>
            <w:noWrap/>
            <w:vAlign w:val="center"/>
          </w:tcPr>
          <w:p w14:paraId="093E192D"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77F445C1" w14:textId="77777777" w:rsidTr="007C0750">
        <w:trPr>
          <w:trHeight w:val="270"/>
          <w:jc w:val="center"/>
        </w:trPr>
        <w:tc>
          <w:tcPr>
            <w:tcW w:w="1228" w:type="dxa"/>
            <w:tcBorders>
              <w:top w:val="nil"/>
              <w:left w:val="nil"/>
              <w:bottom w:val="nil"/>
              <w:right w:val="nil"/>
            </w:tcBorders>
            <w:noWrap/>
            <w:vAlign w:val="center"/>
          </w:tcPr>
          <w:p w14:paraId="17C2C119"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II-1-5</w:t>
            </w:r>
          </w:p>
        </w:tc>
        <w:tc>
          <w:tcPr>
            <w:tcW w:w="1906" w:type="dxa"/>
            <w:tcBorders>
              <w:top w:val="nil"/>
              <w:left w:val="nil"/>
              <w:bottom w:val="nil"/>
              <w:right w:val="nil"/>
            </w:tcBorders>
            <w:noWrap/>
            <w:vAlign w:val="center"/>
          </w:tcPr>
          <w:p w14:paraId="2576AAD5"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Accuracy rate of aspiration risk assessment implementation</w:t>
            </w:r>
          </w:p>
        </w:tc>
        <w:tc>
          <w:tcPr>
            <w:tcW w:w="2469" w:type="dxa"/>
            <w:tcBorders>
              <w:top w:val="nil"/>
              <w:left w:val="nil"/>
              <w:bottom w:val="nil"/>
              <w:right w:val="nil"/>
            </w:tcBorders>
            <w:noWrap/>
            <w:vAlign w:val="center"/>
          </w:tcPr>
          <w:p w14:paraId="5484838C"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patients assessed for aspiration risk using standardized criteria (e.g., cough reflex, voice change, oxygen desaturation)</w:t>
            </w:r>
          </w:p>
        </w:tc>
        <w:tc>
          <w:tcPr>
            <w:tcW w:w="1281" w:type="dxa"/>
            <w:tcBorders>
              <w:top w:val="nil"/>
              <w:left w:val="nil"/>
              <w:bottom w:val="nil"/>
              <w:right w:val="nil"/>
            </w:tcBorders>
            <w:noWrap/>
            <w:vAlign w:val="center"/>
          </w:tcPr>
          <w:p w14:paraId="7AB76759"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Medical record audit</w:t>
            </w:r>
          </w:p>
        </w:tc>
        <w:tc>
          <w:tcPr>
            <w:tcW w:w="1638" w:type="dxa"/>
            <w:tcBorders>
              <w:top w:val="nil"/>
              <w:left w:val="nil"/>
              <w:bottom w:val="nil"/>
              <w:right w:val="nil"/>
            </w:tcBorders>
            <w:noWrap/>
            <w:vAlign w:val="center"/>
          </w:tcPr>
          <w:p w14:paraId="6904CB33"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08073669" w14:textId="77777777" w:rsidTr="007C0750">
        <w:trPr>
          <w:trHeight w:val="270"/>
          <w:jc w:val="center"/>
        </w:trPr>
        <w:tc>
          <w:tcPr>
            <w:tcW w:w="1228" w:type="dxa"/>
            <w:tcBorders>
              <w:top w:val="nil"/>
              <w:left w:val="nil"/>
              <w:bottom w:val="nil"/>
              <w:right w:val="nil"/>
            </w:tcBorders>
            <w:noWrap/>
            <w:vAlign w:val="center"/>
          </w:tcPr>
          <w:p w14:paraId="71250255"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II-1-6</w:t>
            </w:r>
          </w:p>
        </w:tc>
        <w:tc>
          <w:tcPr>
            <w:tcW w:w="1906" w:type="dxa"/>
            <w:tcBorders>
              <w:top w:val="nil"/>
              <w:left w:val="nil"/>
              <w:bottom w:val="nil"/>
              <w:right w:val="nil"/>
            </w:tcBorders>
            <w:noWrap/>
            <w:vAlign w:val="center"/>
          </w:tcPr>
          <w:p w14:paraId="33D77595"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Accuracy rate of risk assessment outcome disposition</w:t>
            </w:r>
          </w:p>
        </w:tc>
        <w:tc>
          <w:tcPr>
            <w:tcW w:w="2469" w:type="dxa"/>
            <w:tcBorders>
              <w:top w:val="nil"/>
              <w:left w:val="nil"/>
              <w:bottom w:val="nil"/>
              <w:right w:val="nil"/>
            </w:tcBorders>
            <w:noWrap/>
            <w:vAlign w:val="center"/>
          </w:tcPr>
          <w:p w14:paraId="6BC6B4F6"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patients with abnormal screening results who received appropriate follow-up (e.g., referral to SLP, dietary consultation, modified diet)</w:t>
            </w:r>
          </w:p>
        </w:tc>
        <w:tc>
          <w:tcPr>
            <w:tcW w:w="1281" w:type="dxa"/>
            <w:tcBorders>
              <w:top w:val="nil"/>
              <w:left w:val="nil"/>
              <w:bottom w:val="nil"/>
              <w:right w:val="nil"/>
            </w:tcBorders>
            <w:noWrap/>
            <w:vAlign w:val="center"/>
          </w:tcPr>
          <w:p w14:paraId="4119276B"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Medical record audit; referral logs</w:t>
            </w:r>
          </w:p>
        </w:tc>
        <w:tc>
          <w:tcPr>
            <w:tcW w:w="1638" w:type="dxa"/>
            <w:tcBorders>
              <w:top w:val="nil"/>
              <w:left w:val="nil"/>
              <w:bottom w:val="nil"/>
              <w:right w:val="nil"/>
            </w:tcBorders>
            <w:noWrap/>
            <w:vAlign w:val="center"/>
          </w:tcPr>
          <w:p w14:paraId="7D0A1CFE"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1848C977" w14:textId="77777777" w:rsidTr="007C0750">
        <w:trPr>
          <w:trHeight w:val="270"/>
          <w:jc w:val="center"/>
        </w:trPr>
        <w:tc>
          <w:tcPr>
            <w:tcW w:w="1228" w:type="dxa"/>
            <w:tcBorders>
              <w:top w:val="nil"/>
              <w:left w:val="nil"/>
              <w:bottom w:val="nil"/>
              <w:right w:val="nil"/>
            </w:tcBorders>
            <w:noWrap/>
            <w:vAlign w:val="center"/>
          </w:tcPr>
          <w:p w14:paraId="17BF109F"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II-2-1</w:t>
            </w:r>
          </w:p>
        </w:tc>
        <w:tc>
          <w:tcPr>
            <w:tcW w:w="1906" w:type="dxa"/>
            <w:tcBorders>
              <w:top w:val="nil"/>
              <w:left w:val="nil"/>
              <w:bottom w:val="nil"/>
              <w:right w:val="nil"/>
            </w:tcBorders>
            <w:noWrap/>
            <w:vAlign w:val="center"/>
          </w:tcPr>
          <w:p w14:paraId="17ED5943"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Accuracy rate of dysphagia nursing plan formulation</w:t>
            </w:r>
          </w:p>
        </w:tc>
        <w:tc>
          <w:tcPr>
            <w:tcW w:w="2469" w:type="dxa"/>
            <w:tcBorders>
              <w:top w:val="nil"/>
              <w:left w:val="nil"/>
              <w:bottom w:val="nil"/>
              <w:right w:val="nil"/>
            </w:tcBorders>
            <w:noWrap/>
            <w:vAlign w:val="center"/>
          </w:tcPr>
          <w:p w14:paraId="07862D58"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patients with a documented, individualized nursing care plan for dysphagia</w:t>
            </w:r>
          </w:p>
        </w:tc>
        <w:tc>
          <w:tcPr>
            <w:tcW w:w="1281" w:type="dxa"/>
            <w:tcBorders>
              <w:top w:val="nil"/>
              <w:left w:val="nil"/>
              <w:bottom w:val="nil"/>
              <w:right w:val="nil"/>
            </w:tcBorders>
            <w:noWrap/>
            <w:vAlign w:val="center"/>
          </w:tcPr>
          <w:p w14:paraId="41863FD1"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Medical record audit</w:t>
            </w:r>
          </w:p>
        </w:tc>
        <w:tc>
          <w:tcPr>
            <w:tcW w:w="1638" w:type="dxa"/>
            <w:tcBorders>
              <w:top w:val="nil"/>
              <w:left w:val="nil"/>
              <w:bottom w:val="nil"/>
              <w:right w:val="nil"/>
            </w:tcBorders>
            <w:noWrap/>
            <w:vAlign w:val="center"/>
          </w:tcPr>
          <w:p w14:paraId="564B0D44"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006D5D07" w14:textId="77777777" w:rsidTr="007C0750">
        <w:trPr>
          <w:trHeight w:val="270"/>
          <w:jc w:val="center"/>
        </w:trPr>
        <w:tc>
          <w:tcPr>
            <w:tcW w:w="1228" w:type="dxa"/>
            <w:tcBorders>
              <w:top w:val="nil"/>
              <w:left w:val="nil"/>
              <w:bottom w:val="nil"/>
              <w:right w:val="nil"/>
            </w:tcBorders>
            <w:noWrap/>
            <w:vAlign w:val="center"/>
          </w:tcPr>
          <w:p w14:paraId="3B6592F4"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II-2-2</w:t>
            </w:r>
          </w:p>
        </w:tc>
        <w:tc>
          <w:tcPr>
            <w:tcW w:w="1906" w:type="dxa"/>
            <w:tcBorders>
              <w:top w:val="nil"/>
              <w:left w:val="nil"/>
              <w:bottom w:val="nil"/>
              <w:right w:val="nil"/>
            </w:tcBorders>
            <w:noWrap/>
            <w:vAlign w:val="center"/>
          </w:tcPr>
          <w:p w14:paraId="42C36160"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Accuracy rate of nutrition support timing implementation</w:t>
            </w:r>
          </w:p>
        </w:tc>
        <w:tc>
          <w:tcPr>
            <w:tcW w:w="2469" w:type="dxa"/>
            <w:tcBorders>
              <w:top w:val="nil"/>
              <w:left w:val="nil"/>
              <w:bottom w:val="nil"/>
              <w:right w:val="nil"/>
            </w:tcBorders>
            <w:noWrap/>
            <w:vAlign w:val="center"/>
          </w:tcPr>
          <w:p w14:paraId="5C7B6555"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 xml:space="preserve">Percentage of patients who received nutrition support (enteral or parenteral) within the recommended time </w:t>
            </w:r>
            <w:r w:rsidRPr="00C926AF">
              <w:rPr>
                <w:rFonts w:ascii="Times New Roman" w:eastAsia="SimSun" w:hAnsi="Times New Roman" w:cs="Times New Roman"/>
                <w:kern w:val="0"/>
                <w:sz w:val="22"/>
                <w:szCs w:val="22"/>
                <w:lang w:bidi="ar"/>
              </w:rPr>
              <w:lastRenderedPageBreak/>
              <w:t>window after dysphagia diagnosis</w:t>
            </w:r>
          </w:p>
        </w:tc>
        <w:tc>
          <w:tcPr>
            <w:tcW w:w="1281" w:type="dxa"/>
            <w:tcBorders>
              <w:top w:val="nil"/>
              <w:left w:val="nil"/>
              <w:bottom w:val="nil"/>
              <w:right w:val="nil"/>
            </w:tcBorders>
            <w:noWrap/>
            <w:vAlign w:val="center"/>
          </w:tcPr>
          <w:p w14:paraId="04EB5655"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lastRenderedPageBreak/>
              <w:t>Medical record audit; nutrition logs</w:t>
            </w:r>
          </w:p>
        </w:tc>
        <w:tc>
          <w:tcPr>
            <w:tcW w:w="1638" w:type="dxa"/>
            <w:tcBorders>
              <w:top w:val="nil"/>
              <w:left w:val="nil"/>
              <w:bottom w:val="nil"/>
              <w:right w:val="nil"/>
            </w:tcBorders>
            <w:noWrap/>
            <w:vAlign w:val="center"/>
          </w:tcPr>
          <w:p w14:paraId="535BB64C"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3A6FD2FD" w14:textId="77777777" w:rsidTr="007C0750">
        <w:trPr>
          <w:trHeight w:val="270"/>
          <w:jc w:val="center"/>
        </w:trPr>
        <w:tc>
          <w:tcPr>
            <w:tcW w:w="1228" w:type="dxa"/>
            <w:tcBorders>
              <w:top w:val="nil"/>
              <w:left w:val="nil"/>
              <w:bottom w:val="nil"/>
              <w:right w:val="nil"/>
            </w:tcBorders>
            <w:noWrap/>
            <w:vAlign w:val="center"/>
          </w:tcPr>
          <w:p w14:paraId="7E9679BB"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II-2-3</w:t>
            </w:r>
          </w:p>
        </w:tc>
        <w:tc>
          <w:tcPr>
            <w:tcW w:w="1906" w:type="dxa"/>
            <w:tcBorders>
              <w:top w:val="nil"/>
              <w:left w:val="nil"/>
              <w:bottom w:val="nil"/>
              <w:right w:val="nil"/>
            </w:tcBorders>
            <w:noWrap/>
            <w:vAlign w:val="center"/>
          </w:tcPr>
          <w:p w14:paraId="6DC8F0DF"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Accuracy rate of nutrition support pathway establishment</w:t>
            </w:r>
          </w:p>
        </w:tc>
        <w:tc>
          <w:tcPr>
            <w:tcW w:w="2469" w:type="dxa"/>
            <w:tcBorders>
              <w:top w:val="nil"/>
              <w:left w:val="nil"/>
              <w:bottom w:val="nil"/>
              <w:right w:val="nil"/>
            </w:tcBorders>
            <w:noWrap/>
            <w:vAlign w:val="center"/>
          </w:tcPr>
          <w:p w14:paraId="50CD7CA5"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patients with a documented nutrition support pathway (e.g., stepwise progression from NPO to oral intake)</w:t>
            </w:r>
          </w:p>
        </w:tc>
        <w:tc>
          <w:tcPr>
            <w:tcW w:w="1281" w:type="dxa"/>
            <w:tcBorders>
              <w:top w:val="nil"/>
              <w:left w:val="nil"/>
              <w:bottom w:val="nil"/>
              <w:right w:val="nil"/>
            </w:tcBorders>
            <w:noWrap/>
            <w:vAlign w:val="center"/>
          </w:tcPr>
          <w:p w14:paraId="7633937D"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Medical record audit</w:t>
            </w:r>
          </w:p>
        </w:tc>
        <w:tc>
          <w:tcPr>
            <w:tcW w:w="1638" w:type="dxa"/>
            <w:tcBorders>
              <w:top w:val="nil"/>
              <w:left w:val="nil"/>
              <w:bottom w:val="nil"/>
              <w:right w:val="nil"/>
            </w:tcBorders>
            <w:noWrap/>
            <w:vAlign w:val="center"/>
          </w:tcPr>
          <w:p w14:paraId="33AE228A"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75CD9ADF" w14:textId="77777777" w:rsidTr="007C0750">
        <w:trPr>
          <w:trHeight w:val="270"/>
          <w:jc w:val="center"/>
        </w:trPr>
        <w:tc>
          <w:tcPr>
            <w:tcW w:w="1228" w:type="dxa"/>
            <w:tcBorders>
              <w:top w:val="nil"/>
              <w:left w:val="nil"/>
              <w:bottom w:val="nil"/>
              <w:right w:val="nil"/>
            </w:tcBorders>
            <w:noWrap/>
            <w:vAlign w:val="center"/>
          </w:tcPr>
          <w:p w14:paraId="6EFDF8FE"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II-2-4</w:t>
            </w:r>
          </w:p>
        </w:tc>
        <w:tc>
          <w:tcPr>
            <w:tcW w:w="1906" w:type="dxa"/>
            <w:tcBorders>
              <w:top w:val="nil"/>
              <w:left w:val="nil"/>
              <w:bottom w:val="nil"/>
              <w:right w:val="nil"/>
            </w:tcBorders>
            <w:noWrap/>
            <w:vAlign w:val="center"/>
          </w:tcPr>
          <w:p w14:paraId="2046143F"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Accuracy rate of feeding method management</w:t>
            </w:r>
          </w:p>
        </w:tc>
        <w:tc>
          <w:tcPr>
            <w:tcW w:w="2469" w:type="dxa"/>
            <w:tcBorders>
              <w:top w:val="nil"/>
              <w:left w:val="nil"/>
              <w:bottom w:val="nil"/>
              <w:right w:val="nil"/>
            </w:tcBorders>
            <w:noWrap/>
            <w:vAlign w:val="center"/>
          </w:tcPr>
          <w:p w14:paraId="3B8384FC"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patients receiving the appropriate feeding method (oral, tube feeding, or combination) based on their dysphagia severity assessment</w:t>
            </w:r>
          </w:p>
        </w:tc>
        <w:tc>
          <w:tcPr>
            <w:tcW w:w="1281" w:type="dxa"/>
            <w:tcBorders>
              <w:top w:val="nil"/>
              <w:left w:val="nil"/>
              <w:bottom w:val="nil"/>
              <w:right w:val="nil"/>
            </w:tcBorders>
            <w:noWrap/>
            <w:vAlign w:val="center"/>
          </w:tcPr>
          <w:p w14:paraId="3F91980E"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Direct observation; medical record audit</w:t>
            </w:r>
          </w:p>
        </w:tc>
        <w:tc>
          <w:tcPr>
            <w:tcW w:w="1638" w:type="dxa"/>
            <w:tcBorders>
              <w:top w:val="nil"/>
              <w:left w:val="nil"/>
              <w:bottom w:val="nil"/>
              <w:right w:val="nil"/>
            </w:tcBorders>
            <w:noWrap/>
            <w:vAlign w:val="center"/>
          </w:tcPr>
          <w:p w14:paraId="4F832920"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45E6C744" w14:textId="77777777" w:rsidTr="007C0750">
        <w:trPr>
          <w:trHeight w:val="270"/>
          <w:jc w:val="center"/>
        </w:trPr>
        <w:tc>
          <w:tcPr>
            <w:tcW w:w="1228" w:type="dxa"/>
            <w:tcBorders>
              <w:top w:val="nil"/>
              <w:left w:val="nil"/>
              <w:bottom w:val="nil"/>
              <w:right w:val="nil"/>
            </w:tcBorders>
            <w:noWrap/>
            <w:vAlign w:val="center"/>
          </w:tcPr>
          <w:p w14:paraId="6BBB4C94"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II-2-5</w:t>
            </w:r>
          </w:p>
        </w:tc>
        <w:tc>
          <w:tcPr>
            <w:tcW w:w="1906" w:type="dxa"/>
            <w:tcBorders>
              <w:top w:val="nil"/>
              <w:left w:val="nil"/>
              <w:bottom w:val="nil"/>
              <w:right w:val="nil"/>
            </w:tcBorders>
            <w:noWrap/>
            <w:vAlign w:val="center"/>
          </w:tcPr>
          <w:p w14:paraId="0B75B571"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Accuracy rate of dietary nursing management</w:t>
            </w:r>
          </w:p>
        </w:tc>
        <w:tc>
          <w:tcPr>
            <w:tcW w:w="2469" w:type="dxa"/>
            <w:tcBorders>
              <w:top w:val="nil"/>
              <w:left w:val="nil"/>
              <w:bottom w:val="nil"/>
              <w:right w:val="nil"/>
            </w:tcBorders>
            <w:noWrap/>
            <w:vAlign w:val="center"/>
          </w:tcPr>
          <w:p w14:paraId="3DBE6447"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patients receiving the appropriate diet modification (e.g., thickened liquids, texture-modified solids, specific consistency) per speech-language therapy recommendation</w:t>
            </w:r>
          </w:p>
        </w:tc>
        <w:tc>
          <w:tcPr>
            <w:tcW w:w="1281" w:type="dxa"/>
            <w:tcBorders>
              <w:top w:val="nil"/>
              <w:left w:val="nil"/>
              <w:bottom w:val="nil"/>
              <w:right w:val="nil"/>
            </w:tcBorders>
            <w:noWrap/>
            <w:vAlign w:val="center"/>
          </w:tcPr>
          <w:p w14:paraId="4C19C26C"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Meal observation; diet order audit</w:t>
            </w:r>
          </w:p>
        </w:tc>
        <w:tc>
          <w:tcPr>
            <w:tcW w:w="1638" w:type="dxa"/>
            <w:tcBorders>
              <w:top w:val="nil"/>
              <w:left w:val="nil"/>
              <w:bottom w:val="nil"/>
              <w:right w:val="nil"/>
            </w:tcBorders>
            <w:noWrap/>
            <w:vAlign w:val="center"/>
          </w:tcPr>
          <w:p w14:paraId="13447FC8"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40D5D22A" w14:textId="77777777" w:rsidTr="007C0750">
        <w:trPr>
          <w:trHeight w:val="270"/>
          <w:jc w:val="center"/>
        </w:trPr>
        <w:tc>
          <w:tcPr>
            <w:tcW w:w="1228" w:type="dxa"/>
            <w:tcBorders>
              <w:top w:val="nil"/>
              <w:left w:val="nil"/>
              <w:bottom w:val="nil"/>
              <w:right w:val="nil"/>
            </w:tcBorders>
            <w:noWrap/>
            <w:vAlign w:val="center"/>
          </w:tcPr>
          <w:p w14:paraId="41774A9A"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II-2-6</w:t>
            </w:r>
          </w:p>
        </w:tc>
        <w:tc>
          <w:tcPr>
            <w:tcW w:w="1906" w:type="dxa"/>
            <w:tcBorders>
              <w:top w:val="nil"/>
              <w:left w:val="nil"/>
              <w:bottom w:val="nil"/>
              <w:right w:val="nil"/>
            </w:tcBorders>
            <w:noWrap/>
            <w:vAlign w:val="center"/>
          </w:tcPr>
          <w:p w14:paraId="1875DA0D"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Accuracy rate of oral administration implementation</w:t>
            </w:r>
          </w:p>
        </w:tc>
        <w:tc>
          <w:tcPr>
            <w:tcW w:w="2469" w:type="dxa"/>
            <w:tcBorders>
              <w:top w:val="nil"/>
              <w:left w:val="nil"/>
              <w:bottom w:val="nil"/>
              <w:right w:val="nil"/>
            </w:tcBorders>
            <w:noWrap/>
            <w:vAlign w:val="center"/>
          </w:tcPr>
          <w:p w14:paraId="7C3AF1F8"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medications administered via the correct route and with appropriate dysphagia precautions (e.g., crushing, liquid formulation, positioning)</w:t>
            </w:r>
          </w:p>
        </w:tc>
        <w:tc>
          <w:tcPr>
            <w:tcW w:w="1281" w:type="dxa"/>
            <w:tcBorders>
              <w:top w:val="nil"/>
              <w:left w:val="nil"/>
              <w:bottom w:val="nil"/>
              <w:right w:val="nil"/>
            </w:tcBorders>
            <w:noWrap/>
            <w:vAlign w:val="center"/>
          </w:tcPr>
          <w:p w14:paraId="7C61C1B5"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Direct observation; MAR audit</w:t>
            </w:r>
          </w:p>
        </w:tc>
        <w:tc>
          <w:tcPr>
            <w:tcW w:w="1638" w:type="dxa"/>
            <w:tcBorders>
              <w:top w:val="nil"/>
              <w:left w:val="nil"/>
              <w:bottom w:val="nil"/>
              <w:right w:val="nil"/>
            </w:tcBorders>
            <w:noWrap/>
            <w:vAlign w:val="center"/>
          </w:tcPr>
          <w:p w14:paraId="4D513E74"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53380B45" w14:textId="77777777" w:rsidTr="007C0750">
        <w:trPr>
          <w:trHeight w:val="270"/>
          <w:jc w:val="center"/>
        </w:trPr>
        <w:tc>
          <w:tcPr>
            <w:tcW w:w="1228" w:type="dxa"/>
            <w:tcBorders>
              <w:top w:val="nil"/>
              <w:left w:val="nil"/>
              <w:bottom w:val="nil"/>
              <w:right w:val="nil"/>
            </w:tcBorders>
            <w:noWrap/>
            <w:vAlign w:val="center"/>
          </w:tcPr>
          <w:p w14:paraId="65EC6FEB"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II-2-7</w:t>
            </w:r>
          </w:p>
        </w:tc>
        <w:tc>
          <w:tcPr>
            <w:tcW w:w="1906" w:type="dxa"/>
            <w:tcBorders>
              <w:top w:val="nil"/>
              <w:left w:val="nil"/>
              <w:bottom w:val="nil"/>
              <w:right w:val="nil"/>
            </w:tcBorders>
            <w:noWrap/>
            <w:vAlign w:val="center"/>
          </w:tcPr>
          <w:p w14:paraId="3A8E8255"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Accuracy rate of oral care implementation</w:t>
            </w:r>
          </w:p>
        </w:tc>
        <w:tc>
          <w:tcPr>
            <w:tcW w:w="2469" w:type="dxa"/>
            <w:tcBorders>
              <w:top w:val="nil"/>
              <w:left w:val="nil"/>
              <w:bottom w:val="nil"/>
              <w:right w:val="nil"/>
            </w:tcBorders>
            <w:noWrap/>
            <w:vAlign w:val="center"/>
          </w:tcPr>
          <w:p w14:paraId="082AC94E"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patients receiving oral care as per protocol (e.g., frequency, technique, use of appropriate tools)</w:t>
            </w:r>
          </w:p>
        </w:tc>
        <w:tc>
          <w:tcPr>
            <w:tcW w:w="1281" w:type="dxa"/>
            <w:tcBorders>
              <w:top w:val="nil"/>
              <w:left w:val="nil"/>
              <w:bottom w:val="nil"/>
              <w:right w:val="nil"/>
            </w:tcBorders>
            <w:noWrap/>
            <w:vAlign w:val="center"/>
          </w:tcPr>
          <w:p w14:paraId="6C796151"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Direct observation; nursing record audit</w:t>
            </w:r>
          </w:p>
        </w:tc>
        <w:tc>
          <w:tcPr>
            <w:tcW w:w="1638" w:type="dxa"/>
            <w:tcBorders>
              <w:top w:val="nil"/>
              <w:left w:val="nil"/>
              <w:bottom w:val="nil"/>
              <w:right w:val="nil"/>
            </w:tcBorders>
            <w:noWrap/>
            <w:vAlign w:val="center"/>
          </w:tcPr>
          <w:p w14:paraId="0797522C"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2904EBC4" w14:textId="77777777" w:rsidTr="007C0750">
        <w:trPr>
          <w:trHeight w:val="270"/>
          <w:jc w:val="center"/>
        </w:trPr>
        <w:tc>
          <w:tcPr>
            <w:tcW w:w="1228" w:type="dxa"/>
            <w:tcBorders>
              <w:top w:val="nil"/>
              <w:left w:val="nil"/>
              <w:bottom w:val="nil"/>
              <w:right w:val="nil"/>
            </w:tcBorders>
            <w:noWrap/>
            <w:vAlign w:val="center"/>
          </w:tcPr>
          <w:p w14:paraId="28153321"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II-2-8</w:t>
            </w:r>
          </w:p>
        </w:tc>
        <w:tc>
          <w:tcPr>
            <w:tcW w:w="1906" w:type="dxa"/>
            <w:tcBorders>
              <w:top w:val="nil"/>
              <w:left w:val="nil"/>
              <w:bottom w:val="nil"/>
              <w:right w:val="nil"/>
            </w:tcBorders>
            <w:noWrap/>
            <w:vAlign w:val="center"/>
          </w:tcPr>
          <w:p w14:paraId="50574364"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Accuracy rate of dysphagia nursing documentation</w:t>
            </w:r>
          </w:p>
        </w:tc>
        <w:tc>
          <w:tcPr>
            <w:tcW w:w="2469" w:type="dxa"/>
            <w:tcBorders>
              <w:top w:val="nil"/>
              <w:left w:val="nil"/>
              <w:bottom w:val="nil"/>
              <w:right w:val="nil"/>
            </w:tcBorders>
            <w:noWrap/>
            <w:vAlign w:val="center"/>
          </w:tcPr>
          <w:p w14:paraId="3EC13B54"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 xml:space="preserve">Percentage of required dysphagia-related documentation fields (assessment, </w:t>
            </w:r>
            <w:r w:rsidRPr="00C926AF">
              <w:rPr>
                <w:rFonts w:ascii="Times New Roman" w:eastAsia="SimSun" w:hAnsi="Times New Roman" w:cs="Times New Roman"/>
                <w:kern w:val="0"/>
                <w:sz w:val="22"/>
                <w:szCs w:val="22"/>
                <w:lang w:bidi="ar"/>
              </w:rPr>
              <w:lastRenderedPageBreak/>
              <w:t>interventions, outcomes) completed correctly and on time</w:t>
            </w:r>
          </w:p>
        </w:tc>
        <w:tc>
          <w:tcPr>
            <w:tcW w:w="1281" w:type="dxa"/>
            <w:tcBorders>
              <w:top w:val="nil"/>
              <w:left w:val="nil"/>
              <w:bottom w:val="nil"/>
              <w:right w:val="nil"/>
            </w:tcBorders>
            <w:noWrap/>
            <w:vAlign w:val="center"/>
          </w:tcPr>
          <w:p w14:paraId="160DE3DA"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lastRenderedPageBreak/>
              <w:t>Medical record audit</w:t>
            </w:r>
          </w:p>
        </w:tc>
        <w:tc>
          <w:tcPr>
            <w:tcW w:w="1638" w:type="dxa"/>
            <w:tcBorders>
              <w:top w:val="nil"/>
              <w:left w:val="nil"/>
              <w:bottom w:val="nil"/>
              <w:right w:val="nil"/>
            </w:tcBorders>
            <w:noWrap/>
            <w:vAlign w:val="center"/>
          </w:tcPr>
          <w:p w14:paraId="2DEAEFF9"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62A1E086" w14:textId="77777777" w:rsidTr="007C0750">
        <w:trPr>
          <w:trHeight w:val="270"/>
          <w:jc w:val="center"/>
        </w:trPr>
        <w:tc>
          <w:tcPr>
            <w:tcW w:w="1228" w:type="dxa"/>
            <w:tcBorders>
              <w:top w:val="nil"/>
              <w:left w:val="nil"/>
              <w:bottom w:val="nil"/>
              <w:right w:val="nil"/>
            </w:tcBorders>
            <w:noWrap/>
            <w:vAlign w:val="center"/>
          </w:tcPr>
          <w:p w14:paraId="3CD57C8B"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II-3-1</w:t>
            </w:r>
          </w:p>
        </w:tc>
        <w:tc>
          <w:tcPr>
            <w:tcW w:w="1906" w:type="dxa"/>
            <w:tcBorders>
              <w:top w:val="nil"/>
              <w:left w:val="nil"/>
              <w:bottom w:val="nil"/>
              <w:right w:val="nil"/>
            </w:tcBorders>
            <w:noWrap/>
            <w:vAlign w:val="center"/>
          </w:tcPr>
          <w:p w14:paraId="6517BF21"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Accuracy rate of aspiration risk prevention measures implementation</w:t>
            </w:r>
          </w:p>
        </w:tc>
        <w:tc>
          <w:tcPr>
            <w:tcW w:w="2469" w:type="dxa"/>
            <w:tcBorders>
              <w:top w:val="nil"/>
              <w:left w:val="nil"/>
              <w:bottom w:val="nil"/>
              <w:right w:val="nil"/>
            </w:tcBorders>
            <w:noWrap/>
            <w:vAlign w:val="center"/>
          </w:tcPr>
          <w:p w14:paraId="5B0C3EA3"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 xml:space="preserve">Percentage of patients at risk of aspiration who received all prescribed aspiration prevention measures (e.g., appropriate head positioning, dietary texture modification, upright positioning during and after meals, oral hygiene, suctioning as needed) as per protocol </w:t>
            </w:r>
          </w:p>
        </w:tc>
        <w:tc>
          <w:tcPr>
            <w:tcW w:w="1281" w:type="dxa"/>
            <w:tcBorders>
              <w:top w:val="nil"/>
              <w:left w:val="nil"/>
              <w:bottom w:val="nil"/>
              <w:right w:val="nil"/>
            </w:tcBorders>
            <w:noWrap/>
            <w:vAlign w:val="center"/>
          </w:tcPr>
          <w:p w14:paraId="7FCBD165"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Medical record audit; direct observation</w:t>
            </w:r>
          </w:p>
        </w:tc>
        <w:tc>
          <w:tcPr>
            <w:tcW w:w="1638" w:type="dxa"/>
            <w:tcBorders>
              <w:top w:val="nil"/>
              <w:left w:val="nil"/>
              <w:bottom w:val="nil"/>
              <w:right w:val="nil"/>
            </w:tcBorders>
            <w:noWrap/>
            <w:vAlign w:val="center"/>
          </w:tcPr>
          <w:p w14:paraId="492D1C42"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34B75499" w14:textId="77777777" w:rsidTr="007C0750">
        <w:trPr>
          <w:trHeight w:val="270"/>
          <w:jc w:val="center"/>
        </w:trPr>
        <w:tc>
          <w:tcPr>
            <w:tcW w:w="1228" w:type="dxa"/>
            <w:tcBorders>
              <w:top w:val="nil"/>
              <w:left w:val="nil"/>
              <w:bottom w:val="nil"/>
              <w:right w:val="nil"/>
            </w:tcBorders>
            <w:noWrap/>
            <w:vAlign w:val="center"/>
          </w:tcPr>
          <w:p w14:paraId="772F58A2"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II-3-2</w:t>
            </w:r>
          </w:p>
        </w:tc>
        <w:tc>
          <w:tcPr>
            <w:tcW w:w="1906" w:type="dxa"/>
            <w:tcBorders>
              <w:top w:val="nil"/>
              <w:left w:val="nil"/>
              <w:bottom w:val="nil"/>
              <w:right w:val="nil"/>
            </w:tcBorders>
            <w:noWrap/>
            <w:vAlign w:val="center"/>
          </w:tcPr>
          <w:p w14:paraId="6E682487"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Accuracy rate of malnutrition risk prevention measures implementation</w:t>
            </w:r>
          </w:p>
        </w:tc>
        <w:tc>
          <w:tcPr>
            <w:tcW w:w="2469" w:type="dxa"/>
            <w:tcBorders>
              <w:top w:val="nil"/>
              <w:left w:val="nil"/>
              <w:bottom w:val="nil"/>
              <w:right w:val="nil"/>
            </w:tcBorders>
            <w:noWrap/>
            <w:vAlign w:val="center"/>
          </w:tcPr>
          <w:p w14:paraId="2C4E3B9E"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patients identified as at risk for malnutrition who receive the prescribed nutritional interventions (e.g., supplements, feeding assistance, monitoring)</w:t>
            </w:r>
          </w:p>
        </w:tc>
        <w:tc>
          <w:tcPr>
            <w:tcW w:w="1281" w:type="dxa"/>
            <w:tcBorders>
              <w:top w:val="nil"/>
              <w:left w:val="nil"/>
              <w:bottom w:val="nil"/>
              <w:right w:val="nil"/>
            </w:tcBorders>
            <w:noWrap/>
            <w:vAlign w:val="center"/>
          </w:tcPr>
          <w:p w14:paraId="5051D784"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Medical record audit; direct observation</w:t>
            </w:r>
          </w:p>
        </w:tc>
        <w:tc>
          <w:tcPr>
            <w:tcW w:w="1638" w:type="dxa"/>
            <w:tcBorders>
              <w:top w:val="nil"/>
              <w:left w:val="nil"/>
              <w:bottom w:val="nil"/>
              <w:right w:val="nil"/>
            </w:tcBorders>
            <w:noWrap/>
            <w:vAlign w:val="center"/>
          </w:tcPr>
          <w:p w14:paraId="6EC5C8DA"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61C5F2FD" w14:textId="77777777" w:rsidTr="007C0750">
        <w:trPr>
          <w:trHeight w:val="270"/>
          <w:jc w:val="center"/>
        </w:trPr>
        <w:tc>
          <w:tcPr>
            <w:tcW w:w="1228" w:type="dxa"/>
            <w:tcBorders>
              <w:top w:val="nil"/>
              <w:left w:val="nil"/>
              <w:bottom w:val="nil"/>
              <w:right w:val="nil"/>
            </w:tcBorders>
            <w:noWrap/>
            <w:vAlign w:val="center"/>
          </w:tcPr>
          <w:p w14:paraId="78353FBB"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II-4-1</w:t>
            </w:r>
          </w:p>
        </w:tc>
        <w:tc>
          <w:tcPr>
            <w:tcW w:w="1906" w:type="dxa"/>
            <w:tcBorders>
              <w:top w:val="nil"/>
              <w:left w:val="nil"/>
              <w:bottom w:val="nil"/>
              <w:right w:val="nil"/>
            </w:tcBorders>
            <w:noWrap/>
            <w:vAlign w:val="center"/>
          </w:tcPr>
          <w:p w14:paraId="2DDAD415"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Standardized implementation rate of rehabilitation nursing collaboration</w:t>
            </w:r>
          </w:p>
        </w:tc>
        <w:tc>
          <w:tcPr>
            <w:tcW w:w="2469" w:type="dxa"/>
            <w:tcBorders>
              <w:top w:val="nil"/>
              <w:left w:val="nil"/>
              <w:bottom w:val="nil"/>
              <w:right w:val="nil"/>
            </w:tcBorders>
            <w:noWrap/>
            <w:vAlign w:val="center"/>
          </w:tcPr>
          <w:p w14:paraId="3F06F9E1"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referrals to rehabilitation services (speech therapy, physical therapy) that follow standardized process (including timely referral, documentation, feedback)</w:t>
            </w:r>
          </w:p>
        </w:tc>
        <w:tc>
          <w:tcPr>
            <w:tcW w:w="1281" w:type="dxa"/>
            <w:tcBorders>
              <w:top w:val="nil"/>
              <w:left w:val="nil"/>
              <w:bottom w:val="nil"/>
              <w:right w:val="nil"/>
            </w:tcBorders>
            <w:noWrap/>
            <w:vAlign w:val="center"/>
          </w:tcPr>
          <w:p w14:paraId="09ACF4D3"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Referral logs; interdepartmental records</w:t>
            </w:r>
          </w:p>
        </w:tc>
        <w:tc>
          <w:tcPr>
            <w:tcW w:w="1638" w:type="dxa"/>
            <w:tcBorders>
              <w:top w:val="nil"/>
              <w:left w:val="nil"/>
              <w:bottom w:val="nil"/>
              <w:right w:val="nil"/>
            </w:tcBorders>
            <w:noWrap/>
            <w:vAlign w:val="center"/>
          </w:tcPr>
          <w:p w14:paraId="4B38EC16"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674D05D9" w14:textId="77777777" w:rsidTr="007C0750">
        <w:trPr>
          <w:trHeight w:val="270"/>
          <w:jc w:val="center"/>
        </w:trPr>
        <w:tc>
          <w:tcPr>
            <w:tcW w:w="1228" w:type="dxa"/>
            <w:tcBorders>
              <w:top w:val="nil"/>
              <w:left w:val="nil"/>
              <w:bottom w:val="nil"/>
              <w:right w:val="nil"/>
            </w:tcBorders>
            <w:noWrap/>
            <w:vAlign w:val="center"/>
          </w:tcPr>
          <w:p w14:paraId="0207BC70"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II-4-2</w:t>
            </w:r>
          </w:p>
        </w:tc>
        <w:tc>
          <w:tcPr>
            <w:tcW w:w="1906" w:type="dxa"/>
            <w:tcBorders>
              <w:top w:val="nil"/>
              <w:left w:val="nil"/>
              <w:bottom w:val="nil"/>
              <w:right w:val="nil"/>
            </w:tcBorders>
            <w:noWrap/>
            <w:vAlign w:val="center"/>
          </w:tcPr>
          <w:p w14:paraId="7DD4D712"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 xml:space="preserve">Standardized implementation rate of nutrition nursing collaboration </w:t>
            </w:r>
          </w:p>
        </w:tc>
        <w:tc>
          <w:tcPr>
            <w:tcW w:w="2469" w:type="dxa"/>
            <w:tcBorders>
              <w:top w:val="nil"/>
              <w:left w:val="nil"/>
              <w:bottom w:val="nil"/>
              <w:right w:val="nil"/>
            </w:tcBorders>
            <w:noWrap/>
            <w:vAlign w:val="center"/>
          </w:tcPr>
          <w:p w14:paraId="694BCB32"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referrals to nutrition/dietary services that follow standardized process</w:t>
            </w:r>
          </w:p>
        </w:tc>
        <w:tc>
          <w:tcPr>
            <w:tcW w:w="1281" w:type="dxa"/>
            <w:tcBorders>
              <w:top w:val="nil"/>
              <w:left w:val="nil"/>
              <w:bottom w:val="nil"/>
              <w:right w:val="nil"/>
            </w:tcBorders>
            <w:noWrap/>
            <w:vAlign w:val="center"/>
          </w:tcPr>
          <w:p w14:paraId="1BBF1F19"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Referral logs; nutrition consult records</w:t>
            </w:r>
          </w:p>
        </w:tc>
        <w:tc>
          <w:tcPr>
            <w:tcW w:w="1638" w:type="dxa"/>
            <w:tcBorders>
              <w:top w:val="nil"/>
              <w:left w:val="nil"/>
              <w:bottom w:val="nil"/>
              <w:right w:val="nil"/>
            </w:tcBorders>
            <w:noWrap/>
            <w:vAlign w:val="center"/>
          </w:tcPr>
          <w:p w14:paraId="0E18C512"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5EB7DA00" w14:textId="77777777" w:rsidTr="007C0750">
        <w:trPr>
          <w:trHeight w:val="270"/>
          <w:jc w:val="center"/>
        </w:trPr>
        <w:tc>
          <w:tcPr>
            <w:tcW w:w="1228" w:type="dxa"/>
            <w:tcBorders>
              <w:top w:val="nil"/>
              <w:left w:val="nil"/>
              <w:bottom w:val="nil"/>
              <w:right w:val="nil"/>
            </w:tcBorders>
            <w:noWrap/>
            <w:vAlign w:val="center"/>
          </w:tcPr>
          <w:p w14:paraId="10E64C86"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II-4-3</w:t>
            </w:r>
          </w:p>
        </w:tc>
        <w:tc>
          <w:tcPr>
            <w:tcW w:w="1906" w:type="dxa"/>
            <w:tcBorders>
              <w:top w:val="nil"/>
              <w:left w:val="nil"/>
              <w:bottom w:val="nil"/>
              <w:right w:val="nil"/>
            </w:tcBorders>
            <w:noWrap/>
            <w:vAlign w:val="center"/>
          </w:tcPr>
          <w:p w14:paraId="6E12595D"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 xml:space="preserve">Standardized implementation rate of collaboration with </w:t>
            </w:r>
            <w:r w:rsidRPr="00C926AF">
              <w:rPr>
                <w:rFonts w:ascii="Times New Roman" w:eastAsia="SimSun" w:hAnsi="Times New Roman" w:cs="Times New Roman"/>
                <w:kern w:val="0"/>
                <w:sz w:val="22"/>
                <w:szCs w:val="22"/>
                <w:lang w:bidi="ar"/>
              </w:rPr>
              <w:lastRenderedPageBreak/>
              <w:t>support departments</w:t>
            </w:r>
          </w:p>
        </w:tc>
        <w:tc>
          <w:tcPr>
            <w:tcW w:w="2469" w:type="dxa"/>
            <w:tcBorders>
              <w:top w:val="nil"/>
              <w:left w:val="nil"/>
              <w:bottom w:val="nil"/>
              <w:right w:val="nil"/>
            </w:tcBorders>
            <w:noWrap/>
            <w:vAlign w:val="center"/>
          </w:tcPr>
          <w:p w14:paraId="50FB36D3"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lastRenderedPageBreak/>
              <w:t xml:space="preserve">Percentage of cross-departmental collaborations (e.g., pharmacy for medication modifications, radiology </w:t>
            </w:r>
            <w:r w:rsidRPr="00C926AF">
              <w:rPr>
                <w:rFonts w:ascii="Times New Roman" w:eastAsia="SimSun" w:hAnsi="Times New Roman" w:cs="Times New Roman"/>
                <w:kern w:val="0"/>
                <w:sz w:val="22"/>
                <w:szCs w:val="22"/>
                <w:lang w:bidi="ar"/>
              </w:rPr>
              <w:lastRenderedPageBreak/>
              <w:t>for VFSS) that follow established protocol</w:t>
            </w:r>
          </w:p>
        </w:tc>
        <w:tc>
          <w:tcPr>
            <w:tcW w:w="1281" w:type="dxa"/>
            <w:tcBorders>
              <w:top w:val="nil"/>
              <w:left w:val="nil"/>
              <w:bottom w:val="nil"/>
              <w:right w:val="nil"/>
            </w:tcBorders>
            <w:noWrap/>
            <w:vAlign w:val="center"/>
          </w:tcPr>
          <w:p w14:paraId="5073282C"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lastRenderedPageBreak/>
              <w:t>Department collaboration logs</w:t>
            </w:r>
          </w:p>
        </w:tc>
        <w:tc>
          <w:tcPr>
            <w:tcW w:w="1638" w:type="dxa"/>
            <w:tcBorders>
              <w:top w:val="nil"/>
              <w:left w:val="nil"/>
              <w:bottom w:val="nil"/>
              <w:right w:val="nil"/>
            </w:tcBorders>
            <w:noWrap/>
            <w:vAlign w:val="center"/>
          </w:tcPr>
          <w:p w14:paraId="6CD912EC"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733E54DC" w14:textId="77777777" w:rsidTr="007C0750">
        <w:trPr>
          <w:trHeight w:val="270"/>
          <w:jc w:val="center"/>
        </w:trPr>
        <w:tc>
          <w:tcPr>
            <w:tcW w:w="1228" w:type="dxa"/>
            <w:tcBorders>
              <w:top w:val="nil"/>
              <w:left w:val="nil"/>
              <w:bottom w:val="nil"/>
              <w:right w:val="nil"/>
            </w:tcBorders>
            <w:noWrap/>
            <w:vAlign w:val="center"/>
          </w:tcPr>
          <w:p w14:paraId="4E330BFD"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II-5-1</w:t>
            </w:r>
          </w:p>
        </w:tc>
        <w:tc>
          <w:tcPr>
            <w:tcW w:w="1906" w:type="dxa"/>
            <w:tcBorders>
              <w:top w:val="nil"/>
              <w:left w:val="nil"/>
              <w:bottom w:val="nil"/>
              <w:right w:val="nil"/>
            </w:tcBorders>
            <w:noWrap/>
            <w:vAlign w:val="center"/>
          </w:tcPr>
          <w:p w14:paraId="175FC885"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Implementation rate of health education on risk prevention and control for patients</w:t>
            </w:r>
          </w:p>
        </w:tc>
        <w:tc>
          <w:tcPr>
            <w:tcW w:w="2469" w:type="dxa"/>
            <w:tcBorders>
              <w:top w:val="nil"/>
              <w:left w:val="nil"/>
              <w:bottom w:val="nil"/>
              <w:right w:val="nil"/>
            </w:tcBorders>
            <w:noWrap/>
            <w:vAlign w:val="center"/>
          </w:tcPr>
          <w:p w14:paraId="509C6777"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patients (or caregivers) who received structured health education on dysphagia risk prevention (e.g., positioning, diet modification, signs of aspiration)</w:t>
            </w:r>
          </w:p>
        </w:tc>
        <w:tc>
          <w:tcPr>
            <w:tcW w:w="1281" w:type="dxa"/>
            <w:tcBorders>
              <w:top w:val="nil"/>
              <w:left w:val="nil"/>
              <w:bottom w:val="nil"/>
              <w:right w:val="nil"/>
            </w:tcBorders>
            <w:noWrap/>
            <w:vAlign w:val="center"/>
          </w:tcPr>
          <w:p w14:paraId="1B3A0F35"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Patient interview; education documentation</w:t>
            </w:r>
          </w:p>
        </w:tc>
        <w:tc>
          <w:tcPr>
            <w:tcW w:w="1638" w:type="dxa"/>
            <w:tcBorders>
              <w:top w:val="nil"/>
              <w:left w:val="nil"/>
              <w:bottom w:val="nil"/>
              <w:right w:val="nil"/>
            </w:tcBorders>
            <w:noWrap/>
            <w:vAlign w:val="center"/>
          </w:tcPr>
          <w:p w14:paraId="1D6628F7"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6865DC35" w14:textId="77777777" w:rsidTr="007C0750">
        <w:trPr>
          <w:trHeight w:val="270"/>
          <w:jc w:val="center"/>
        </w:trPr>
        <w:tc>
          <w:tcPr>
            <w:tcW w:w="1228" w:type="dxa"/>
            <w:tcBorders>
              <w:top w:val="nil"/>
              <w:left w:val="nil"/>
              <w:bottom w:val="nil"/>
              <w:right w:val="nil"/>
            </w:tcBorders>
            <w:noWrap/>
            <w:vAlign w:val="center"/>
          </w:tcPr>
          <w:p w14:paraId="394A608D"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II-5-2</w:t>
            </w:r>
          </w:p>
        </w:tc>
        <w:tc>
          <w:tcPr>
            <w:tcW w:w="1906" w:type="dxa"/>
            <w:tcBorders>
              <w:top w:val="nil"/>
              <w:left w:val="nil"/>
              <w:bottom w:val="nil"/>
              <w:right w:val="nil"/>
            </w:tcBorders>
            <w:noWrap/>
            <w:vAlign w:val="center"/>
          </w:tcPr>
          <w:p w14:paraId="7566D8F6"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Implementation rate of health education on swallowing training for patients</w:t>
            </w:r>
          </w:p>
        </w:tc>
        <w:tc>
          <w:tcPr>
            <w:tcW w:w="2469" w:type="dxa"/>
            <w:tcBorders>
              <w:top w:val="nil"/>
              <w:left w:val="nil"/>
              <w:bottom w:val="nil"/>
              <w:right w:val="nil"/>
            </w:tcBorders>
            <w:noWrap/>
            <w:vAlign w:val="center"/>
          </w:tcPr>
          <w:p w14:paraId="059E4A1C"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patients (or caregivers) who received instruction on prescribed swallowing exercises or compensatory techniques</w:t>
            </w:r>
          </w:p>
        </w:tc>
        <w:tc>
          <w:tcPr>
            <w:tcW w:w="1281" w:type="dxa"/>
            <w:tcBorders>
              <w:top w:val="nil"/>
              <w:left w:val="nil"/>
              <w:bottom w:val="nil"/>
              <w:right w:val="nil"/>
            </w:tcBorders>
            <w:noWrap/>
            <w:vAlign w:val="center"/>
          </w:tcPr>
          <w:p w14:paraId="248DC7A6"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Patient interview; education documentation</w:t>
            </w:r>
          </w:p>
        </w:tc>
        <w:tc>
          <w:tcPr>
            <w:tcW w:w="1638" w:type="dxa"/>
            <w:tcBorders>
              <w:top w:val="nil"/>
              <w:left w:val="nil"/>
              <w:bottom w:val="nil"/>
              <w:right w:val="nil"/>
            </w:tcBorders>
            <w:noWrap/>
            <w:vAlign w:val="center"/>
          </w:tcPr>
          <w:p w14:paraId="6E30FCF9"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56C5A6CE" w14:textId="77777777" w:rsidTr="007C0750">
        <w:trPr>
          <w:trHeight w:val="270"/>
          <w:jc w:val="center"/>
        </w:trPr>
        <w:tc>
          <w:tcPr>
            <w:tcW w:w="1228" w:type="dxa"/>
            <w:tcBorders>
              <w:top w:val="nil"/>
              <w:left w:val="nil"/>
              <w:bottom w:val="nil"/>
              <w:right w:val="nil"/>
            </w:tcBorders>
            <w:noWrap/>
            <w:vAlign w:val="center"/>
          </w:tcPr>
          <w:p w14:paraId="26BDD1EB"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hint="eastAsia"/>
                <w:kern w:val="0"/>
                <w:sz w:val="22"/>
                <w:szCs w:val="22"/>
                <w:lang w:bidi="ar"/>
              </w:rPr>
              <w:t>III</w:t>
            </w:r>
            <w:r w:rsidRPr="00C926AF">
              <w:rPr>
                <w:rFonts w:ascii="Times New Roman" w:eastAsia="SimSun" w:hAnsi="Times New Roman" w:cs="Times New Roman"/>
                <w:kern w:val="0"/>
                <w:sz w:val="22"/>
                <w:szCs w:val="22"/>
                <w:lang w:bidi="ar"/>
              </w:rPr>
              <w:t>-1-1</w:t>
            </w:r>
          </w:p>
        </w:tc>
        <w:tc>
          <w:tcPr>
            <w:tcW w:w="1906" w:type="dxa"/>
            <w:tcBorders>
              <w:top w:val="nil"/>
              <w:left w:val="nil"/>
              <w:bottom w:val="nil"/>
              <w:right w:val="nil"/>
            </w:tcBorders>
            <w:noWrap/>
            <w:vAlign w:val="center"/>
          </w:tcPr>
          <w:p w14:paraId="5B2AF717"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Incidence of aspiration</w:t>
            </w:r>
          </w:p>
        </w:tc>
        <w:tc>
          <w:tcPr>
            <w:tcW w:w="2469" w:type="dxa"/>
            <w:tcBorders>
              <w:top w:val="nil"/>
              <w:left w:val="nil"/>
              <w:bottom w:val="nil"/>
              <w:right w:val="nil"/>
            </w:tcBorders>
            <w:noWrap/>
            <w:vAlign w:val="center"/>
          </w:tcPr>
          <w:p w14:paraId="1A561B94"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Number of new aspiration events (clinically witnessed or confirmed by videofluoroscopy) per 1,000 patient-days</w:t>
            </w:r>
          </w:p>
        </w:tc>
        <w:tc>
          <w:tcPr>
            <w:tcW w:w="1281" w:type="dxa"/>
            <w:tcBorders>
              <w:top w:val="nil"/>
              <w:left w:val="nil"/>
              <w:bottom w:val="nil"/>
              <w:right w:val="nil"/>
            </w:tcBorders>
            <w:noWrap/>
            <w:vAlign w:val="center"/>
          </w:tcPr>
          <w:p w14:paraId="746CB7A8"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Incident reports; medical records</w:t>
            </w:r>
          </w:p>
        </w:tc>
        <w:tc>
          <w:tcPr>
            <w:tcW w:w="1638" w:type="dxa"/>
            <w:tcBorders>
              <w:top w:val="nil"/>
              <w:left w:val="nil"/>
              <w:bottom w:val="nil"/>
              <w:right w:val="nil"/>
            </w:tcBorders>
            <w:noWrap/>
            <w:vAlign w:val="center"/>
          </w:tcPr>
          <w:p w14:paraId="09CE9F65"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0CF5F0C4" w14:textId="77777777" w:rsidTr="007C0750">
        <w:trPr>
          <w:trHeight w:val="270"/>
          <w:jc w:val="center"/>
        </w:trPr>
        <w:tc>
          <w:tcPr>
            <w:tcW w:w="1228" w:type="dxa"/>
            <w:tcBorders>
              <w:top w:val="nil"/>
              <w:left w:val="nil"/>
              <w:bottom w:val="nil"/>
              <w:right w:val="nil"/>
            </w:tcBorders>
            <w:noWrap/>
            <w:vAlign w:val="center"/>
          </w:tcPr>
          <w:p w14:paraId="779D00C1"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III-1-2</w:t>
            </w:r>
          </w:p>
        </w:tc>
        <w:tc>
          <w:tcPr>
            <w:tcW w:w="1906" w:type="dxa"/>
            <w:tcBorders>
              <w:top w:val="nil"/>
              <w:left w:val="nil"/>
              <w:bottom w:val="nil"/>
              <w:right w:val="nil"/>
            </w:tcBorders>
            <w:noWrap/>
            <w:vAlign w:val="center"/>
          </w:tcPr>
          <w:p w14:paraId="5D32D6BC"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Incidence of aspiration pneumonia</w:t>
            </w:r>
          </w:p>
        </w:tc>
        <w:tc>
          <w:tcPr>
            <w:tcW w:w="2469" w:type="dxa"/>
            <w:tcBorders>
              <w:top w:val="nil"/>
              <w:left w:val="nil"/>
              <w:bottom w:val="nil"/>
              <w:right w:val="nil"/>
            </w:tcBorders>
            <w:noWrap/>
            <w:vAlign w:val="center"/>
          </w:tcPr>
          <w:p w14:paraId="0264D66C"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Number of new aspiration pneumonia diagnoses (clinical + radiographic confirmation) per 1,000 patient-days</w:t>
            </w:r>
          </w:p>
        </w:tc>
        <w:tc>
          <w:tcPr>
            <w:tcW w:w="1281" w:type="dxa"/>
            <w:tcBorders>
              <w:top w:val="nil"/>
              <w:left w:val="nil"/>
              <w:bottom w:val="nil"/>
              <w:right w:val="nil"/>
            </w:tcBorders>
            <w:noWrap/>
            <w:vAlign w:val="center"/>
          </w:tcPr>
          <w:p w14:paraId="7182A4D4"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Medical records; imaging reports; discharge summaries</w:t>
            </w:r>
          </w:p>
        </w:tc>
        <w:tc>
          <w:tcPr>
            <w:tcW w:w="1638" w:type="dxa"/>
            <w:tcBorders>
              <w:top w:val="nil"/>
              <w:left w:val="nil"/>
              <w:bottom w:val="nil"/>
              <w:right w:val="nil"/>
            </w:tcBorders>
            <w:noWrap/>
            <w:vAlign w:val="center"/>
          </w:tcPr>
          <w:p w14:paraId="3BFA50AE"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47E9352F" w14:textId="77777777" w:rsidTr="007C0750">
        <w:trPr>
          <w:trHeight w:val="270"/>
          <w:jc w:val="center"/>
        </w:trPr>
        <w:tc>
          <w:tcPr>
            <w:tcW w:w="1228" w:type="dxa"/>
            <w:tcBorders>
              <w:top w:val="nil"/>
              <w:left w:val="nil"/>
              <w:bottom w:val="nil"/>
              <w:right w:val="nil"/>
            </w:tcBorders>
            <w:noWrap/>
            <w:vAlign w:val="center"/>
          </w:tcPr>
          <w:p w14:paraId="5222429A"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III-1-3</w:t>
            </w:r>
          </w:p>
        </w:tc>
        <w:tc>
          <w:tcPr>
            <w:tcW w:w="1906" w:type="dxa"/>
            <w:tcBorders>
              <w:top w:val="nil"/>
              <w:left w:val="nil"/>
              <w:bottom w:val="nil"/>
              <w:right w:val="nil"/>
            </w:tcBorders>
            <w:noWrap/>
            <w:vAlign w:val="center"/>
          </w:tcPr>
          <w:p w14:paraId="0761FF04"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Incidence of asphyxia</w:t>
            </w:r>
          </w:p>
        </w:tc>
        <w:tc>
          <w:tcPr>
            <w:tcW w:w="2469" w:type="dxa"/>
            <w:tcBorders>
              <w:top w:val="nil"/>
              <w:left w:val="nil"/>
              <w:bottom w:val="nil"/>
              <w:right w:val="nil"/>
            </w:tcBorders>
            <w:noWrap/>
            <w:vAlign w:val="center"/>
          </w:tcPr>
          <w:p w14:paraId="5580F399"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Number of asphyxia events (airway obstruction requiring emergency intervention) per 1,000 patient-days</w:t>
            </w:r>
          </w:p>
        </w:tc>
        <w:tc>
          <w:tcPr>
            <w:tcW w:w="1281" w:type="dxa"/>
            <w:tcBorders>
              <w:top w:val="nil"/>
              <w:left w:val="nil"/>
              <w:bottom w:val="nil"/>
              <w:right w:val="nil"/>
            </w:tcBorders>
            <w:noWrap/>
            <w:vAlign w:val="center"/>
          </w:tcPr>
          <w:p w14:paraId="4F0E28CC"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Incident reports; code blue records</w:t>
            </w:r>
          </w:p>
        </w:tc>
        <w:tc>
          <w:tcPr>
            <w:tcW w:w="1638" w:type="dxa"/>
            <w:tcBorders>
              <w:top w:val="nil"/>
              <w:left w:val="nil"/>
              <w:bottom w:val="nil"/>
              <w:right w:val="nil"/>
            </w:tcBorders>
            <w:noWrap/>
            <w:vAlign w:val="center"/>
          </w:tcPr>
          <w:p w14:paraId="6D3FE962"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61BB3216" w14:textId="77777777" w:rsidTr="007C0750">
        <w:trPr>
          <w:trHeight w:val="270"/>
          <w:jc w:val="center"/>
        </w:trPr>
        <w:tc>
          <w:tcPr>
            <w:tcW w:w="1228" w:type="dxa"/>
            <w:tcBorders>
              <w:top w:val="nil"/>
              <w:left w:val="nil"/>
              <w:bottom w:val="nil"/>
              <w:right w:val="nil"/>
            </w:tcBorders>
            <w:noWrap/>
            <w:vAlign w:val="center"/>
          </w:tcPr>
          <w:p w14:paraId="58AA2B28"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III-1-4</w:t>
            </w:r>
          </w:p>
        </w:tc>
        <w:tc>
          <w:tcPr>
            <w:tcW w:w="1906" w:type="dxa"/>
            <w:tcBorders>
              <w:top w:val="nil"/>
              <w:left w:val="nil"/>
              <w:bottom w:val="nil"/>
              <w:right w:val="nil"/>
            </w:tcBorders>
            <w:noWrap/>
            <w:vAlign w:val="center"/>
          </w:tcPr>
          <w:p w14:paraId="13468AA1"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Incidence of malnutrition</w:t>
            </w:r>
          </w:p>
        </w:tc>
        <w:tc>
          <w:tcPr>
            <w:tcW w:w="2469" w:type="dxa"/>
            <w:tcBorders>
              <w:top w:val="nil"/>
              <w:left w:val="nil"/>
              <w:bottom w:val="nil"/>
              <w:right w:val="nil"/>
            </w:tcBorders>
            <w:noWrap/>
            <w:vAlign w:val="center"/>
          </w:tcPr>
          <w:p w14:paraId="144107F3"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 xml:space="preserve">Number of patients with a new diagnosis of malnutrition (per clinical criteria, e.g., weight loss, low BMI, reduced </w:t>
            </w:r>
            <w:r w:rsidRPr="00C926AF">
              <w:rPr>
                <w:rFonts w:ascii="Times New Roman" w:eastAsia="SimSun" w:hAnsi="Times New Roman" w:cs="Times New Roman"/>
                <w:kern w:val="0"/>
                <w:sz w:val="22"/>
                <w:szCs w:val="22"/>
                <w:lang w:bidi="ar"/>
              </w:rPr>
              <w:lastRenderedPageBreak/>
              <w:t>intake) during hospitalization</w:t>
            </w:r>
          </w:p>
        </w:tc>
        <w:tc>
          <w:tcPr>
            <w:tcW w:w="1281" w:type="dxa"/>
            <w:tcBorders>
              <w:top w:val="nil"/>
              <w:left w:val="nil"/>
              <w:bottom w:val="nil"/>
              <w:right w:val="nil"/>
            </w:tcBorders>
            <w:noWrap/>
            <w:vAlign w:val="center"/>
          </w:tcPr>
          <w:p w14:paraId="1DDAB75E"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lastRenderedPageBreak/>
              <w:t>Nutrition assessment records; discharge summaries</w:t>
            </w:r>
          </w:p>
        </w:tc>
        <w:tc>
          <w:tcPr>
            <w:tcW w:w="1638" w:type="dxa"/>
            <w:tcBorders>
              <w:top w:val="nil"/>
              <w:left w:val="nil"/>
              <w:bottom w:val="nil"/>
              <w:right w:val="nil"/>
            </w:tcBorders>
            <w:noWrap/>
            <w:vAlign w:val="center"/>
          </w:tcPr>
          <w:p w14:paraId="6AB94C90"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4BCDC874" w14:textId="77777777" w:rsidTr="007C0750">
        <w:trPr>
          <w:trHeight w:val="270"/>
          <w:jc w:val="center"/>
        </w:trPr>
        <w:tc>
          <w:tcPr>
            <w:tcW w:w="1228" w:type="dxa"/>
            <w:tcBorders>
              <w:top w:val="nil"/>
              <w:left w:val="nil"/>
              <w:bottom w:val="nil"/>
              <w:right w:val="nil"/>
            </w:tcBorders>
            <w:noWrap/>
            <w:vAlign w:val="center"/>
          </w:tcPr>
          <w:p w14:paraId="657D66E8"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III-2-1</w:t>
            </w:r>
          </w:p>
        </w:tc>
        <w:tc>
          <w:tcPr>
            <w:tcW w:w="1906" w:type="dxa"/>
            <w:tcBorders>
              <w:top w:val="nil"/>
              <w:left w:val="nil"/>
              <w:bottom w:val="nil"/>
              <w:right w:val="nil"/>
            </w:tcBorders>
            <w:noWrap/>
            <w:vAlign w:val="center"/>
          </w:tcPr>
          <w:p w14:paraId="16E1C839"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Patient satisfaction with nursing operations</w:t>
            </w:r>
          </w:p>
        </w:tc>
        <w:tc>
          <w:tcPr>
            <w:tcW w:w="2469" w:type="dxa"/>
            <w:tcBorders>
              <w:top w:val="nil"/>
              <w:left w:val="nil"/>
              <w:bottom w:val="nil"/>
              <w:right w:val="nil"/>
            </w:tcBorders>
            <w:noWrap/>
            <w:vAlign w:val="center"/>
          </w:tcPr>
          <w:p w14:paraId="6ECAE26F"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Mean score on a 0–10 scale from patient satisfaction survey regarding nursing skills, responsiveness, and safety</w:t>
            </w:r>
          </w:p>
        </w:tc>
        <w:tc>
          <w:tcPr>
            <w:tcW w:w="1281" w:type="dxa"/>
            <w:tcBorders>
              <w:top w:val="nil"/>
              <w:left w:val="nil"/>
              <w:bottom w:val="nil"/>
              <w:right w:val="nil"/>
            </w:tcBorders>
            <w:noWrap/>
            <w:vAlign w:val="center"/>
          </w:tcPr>
          <w:p w14:paraId="785DB136"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Patient satisfaction survey (standardized)</w:t>
            </w:r>
          </w:p>
        </w:tc>
        <w:tc>
          <w:tcPr>
            <w:tcW w:w="1638" w:type="dxa"/>
            <w:tcBorders>
              <w:top w:val="nil"/>
              <w:left w:val="nil"/>
              <w:bottom w:val="nil"/>
              <w:right w:val="nil"/>
            </w:tcBorders>
            <w:noWrap/>
            <w:vAlign w:val="center"/>
          </w:tcPr>
          <w:p w14:paraId="3D644C3E"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38487202" w14:textId="77777777" w:rsidTr="007C0750">
        <w:trPr>
          <w:trHeight w:val="270"/>
          <w:jc w:val="center"/>
        </w:trPr>
        <w:tc>
          <w:tcPr>
            <w:tcW w:w="1228" w:type="dxa"/>
            <w:tcBorders>
              <w:top w:val="nil"/>
              <w:left w:val="nil"/>
              <w:bottom w:val="nil"/>
              <w:right w:val="nil"/>
            </w:tcBorders>
            <w:noWrap/>
            <w:vAlign w:val="center"/>
          </w:tcPr>
          <w:p w14:paraId="308FF37E"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III-2-2</w:t>
            </w:r>
          </w:p>
        </w:tc>
        <w:tc>
          <w:tcPr>
            <w:tcW w:w="1906" w:type="dxa"/>
            <w:tcBorders>
              <w:top w:val="nil"/>
              <w:left w:val="nil"/>
              <w:bottom w:val="nil"/>
              <w:right w:val="nil"/>
            </w:tcBorders>
            <w:noWrap/>
            <w:vAlign w:val="center"/>
          </w:tcPr>
          <w:p w14:paraId="1D7CEB16"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Patient satisfaction with health education</w:t>
            </w:r>
          </w:p>
        </w:tc>
        <w:tc>
          <w:tcPr>
            <w:tcW w:w="2469" w:type="dxa"/>
            <w:tcBorders>
              <w:top w:val="nil"/>
              <w:left w:val="nil"/>
              <w:bottom w:val="nil"/>
              <w:right w:val="nil"/>
            </w:tcBorders>
            <w:noWrap/>
            <w:vAlign w:val="center"/>
          </w:tcPr>
          <w:p w14:paraId="5C537B50"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Mean score on health education satisfaction items (clarity, usefulness, amount of information)</w:t>
            </w:r>
          </w:p>
        </w:tc>
        <w:tc>
          <w:tcPr>
            <w:tcW w:w="1281" w:type="dxa"/>
            <w:tcBorders>
              <w:top w:val="nil"/>
              <w:left w:val="nil"/>
              <w:bottom w:val="nil"/>
              <w:right w:val="nil"/>
            </w:tcBorders>
            <w:noWrap/>
            <w:vAlign w:val="center"/>
          </w:tcPr>
          <w:p w14:paraId="09AEA17B"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Patient satisfaction survey</w:t>
            </w:r>
          </w:p>
        </w:tc>
        <w:tc>
          <w:tcPr>
            <w:tcW w:w="1638" w:type="dxa"/>
            <w:tcBorders>
              <w:top w:val="nil"/>
              <w:left w:val="nil"/>
              <w:bottom w:val="nil"/>
              <w:right w:val="nil"/>
            </w:tcBorders>
            <w:noWrap/>
            <w:vAlign w:val="center"/>
          </w:tcPr>
          <w:p w14:paraId="0B759100"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51A1384D" w14:textId="77777777" w:rsidTr="007C0750">
        <w:trPr>
          <w:trHeight w:val="270"/>
          <w:jc w:val="center"/>
        </w:trPr>
        <w:tc>
          <w:tcPr>
            <w:tcW w:w="1228" w:type="dxa"/>
            <w:tcBorders>
              <w:top w:val="nil"/>
              <w:left w:val="nil"/>
              <w:bottom w:val="nil"/>
              <w:right w:val="nil"/>
            </w:tcBorders>
            <w:noWrap/>
            <w:vAlign w:val="center"/>
          </w:tcPr>
          <w:p w14:paraId="4E4A9BBB"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III-2-3</w:t>
            </w:r>
          </w:p>
        </w:tc>
        <w:tc>
          <w:tcPr>
            <w:tcW w:w="1906" w:type="dxa"/>
            <w:tcBorders>
              <w:top w:val="nil"/>
              <w:left w:val="nil"/>
              <w:bottom w:val="nil"/>
              <w:right w:val="nil"/>
            </w:tcBorders>
            <w:noWrap/>
            <w:vAlign w:val="center"/>
          </w:tcPr>
          <w:p w14:paraId="1F452915"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Patient satisfaction with multidisciplinary collaboration</w:t>
            </w:r>
          </w:p>
        </w:tc>
        <w:tc>
          <w:tcPr>
            <w:tcW w:w="2469" w:type="dxa"/>
            <w:tcBorders>
              <w:top w:val="nil"/>
              <w:left w:val="nil"/>
              <w:bottom w:val="nil"/>
              <w:right w:val="nil"/>
            </w:tcBorders>
            <w:noWrap/>
            <w:vAlign w:val="center"/>
          </w:tcPr>
          <w:p w14:paraId="3B45BD6E"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Mean score on satisfaction with coordination among nurses, doctors, therapists, and dietitians</w:t>
            </w:r>
          </w:p>
        </w:tc>
        <w:tc>
          <w:tcPr>
            <w:tcW w:w="1281" w:type="dxa"/>
            <w:tcBorders>
              <w:top w:val="nil"/>
              <w:left w:val="nil"/>
              <w:bottom w:val="nil"/>
              <w:right w:val="nil"/>
            </w:tcBorders>
            <w:noWrap/>
            <w:vAlign w:val="center"/>
          </w:tcPr>
          <w:p w14:paraId="7D8104A4"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Patient satisfaction survey</w:t>
            </w:r>
          </w:p>
        </w:tc>
        <w:tc>
          <w:tcPr>
            <w:tcW w:w="1638" w:type="dxa"/>
            <w:tcBorders>
              <w:top w:val="nil"/>
              <w:left w:val="nil"/>
              <w:bottom w:val="nil"/>
              <w:right w:val="nil"/>
            </w:tcBorders>
            <w:noWrap/>
            <w:vAlign w:val="center"/>
          </w:tcPr>
          <w:p w14:paraId="599C060E"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Monthly</w:t>
            </w:r>
          </w:p>
        </w:tc>
      </w:tr>
      <w:tr w:rsidR="00E81B10" w:rsidRPr="00F05298" w14:paraId="07BAFFBC" w14:textId="77777777" w:rsidTr="007C0750">
        <w:trPr>
          <w:trHeight w:val="270"/>
          <w:jc w:val="center"/>
        </w:trPr>
        <w:tc>
          <w:tcPr>
            <w:tcW w:w="1228" w:type="dxa"/>
            <w:tcBorders>
              <w:top w:val="nil"/>
              <w:left w:val="nil"/>
              <w:bottom w:val="nil"/>
              <w:right w:val="nil"/>
            </w:tcBorders>
            <w:noWrap/>
            <w:vAlign w:val="center"/>
          </w:tcPr>
          <w:p w14:paraId="30F9CD6C"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III-3-1</w:t>
            </w:r>
          </w:p>
        </w:tc>
        <w:tc>
          <w:tcPr>
            <w:tcW w:w="1906" w:type="dxa"/>
            <w:tcBorders>
              <w:top w:val="nil"/>
              <w:left w:val="nil"/>
              <w:bottom w:val="nil"/>
              <w:right w:val="nil"/>
            </w:tcBorders>
            <w:noWrap/>
            <w:vAlign w:val="center"/>
          </w:tcPr>
          <w:p w14:paraId="7A4A6DD7"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 xml:space="preserve">Patient awareness rate of the risks and consequences associated with dysphagia </w:t>
            </w:r>
          </w:p>
        </w:tc>
        <w:tc>
          <w:tcPr>
            <w:tcW w:w="2469" w:type="dxa"/>
            <w:tcBorders>
              <w:top w:val="nil"/>
              <w:left w:val="nil"/>
              <w:bottom w:val="nil"/>
              <w:right w:val="nil"/>
            </w:tcBorders>
            <w:noWrap/>
            <w:vAlign w:val="center"/>
          </w:tcPr>
          <w:p w14:paraId="1464C77F"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patients who can correctly identify their personal risks related to dysphagia (post-education)</w:t>
            </w:r>
          </w:p>
        </w:tc>
        <w:tc>
          <w:tcPr>
            <w:tcW w:w="1281" w:type="dxa"/>
            <w:tcBorders>
              <w:top w:val="nil"/>
              <w:left w:val="nil"/>
              <w:bottom w:val="nil"/>
              <w:right w:val="nil"/>
            </w:tcBorders>
            <w:noWrap/>
            <w:vAlign w:val="center"/>
          </w:tcPr>
          <w:p w14:paraId="7946064F"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Patient interview (structured questionnaire)</w:t>
            </w:r>
          </w:p>
        </w:tc>
        <w:tc>
          <w:tcPr>
            <w:tcW w:w="1638" w:type="dxa"/>
            <w:tcBorders>
              <w:top w:val="nil"/>
              <w:left w:val="nil"/>
              <w:bottom w:val="nil"/>
              <w:right w:val="nil"/>
            </w:tcBorders>
            <w:noWrap/>
            <w:vAlign w:val="center"/>
          </w:tcPr>
          <w:p w14:paraId="0E6D073A"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On admission and weekly</w:t>
            </w:r>
          </w:p>
        </w:tc>
      </w:tr>
      <w:tr w:rsidR="00E81B10" w:rsidRPr="00F05298" w14:paraId="2CF44E48" w14:textId="77777777" w:rsidTr="007C0750">
        <w:trPr>
          <w:trHeight w:val="270"/>
          <w:jc w:val="center"/>
        </w:trPr>
        <w:tc>
          <w:tcPr>
            <w:tcW w:w="1228" w:type="dxa"/>
            <w:tcBorders>
              <w:top w:val="nil"/>
              <w:left w:val="nil"/>
              <w:bottom w:val="nil"/>
              <w:right w:val="nil"/>
            </w:tcBorders>
            <w:noWrap/>
            <w:vAlign w:val="center"/>
          </w:tcPr>
          <w:p w14:paraId="2BF18399"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III-3-2</w:t>
            </w:r>
          </w:p>
        </w:tc>
        <w:tc>
          <w:tcPr>
            <w:tcW w:w="1906" w:type="dxa"/>
            <w:tcBorders>
              <w:top w:val="nil"/>
              <w:left w:val="nil"/>
              <w:bottom w:val="nil"/>
              <w:right w:val="nil"/>
            </w:tcBorders>
            <w:noWrap/>
            <w:vAlign w:val="center"/>
          </w:tcPr>
          <w:p w14:paraId="6B52562D"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Patient awareness of nursing related knowledge associated with dysphagia</w:t>
            </w:r>
          </w:p>
        </w:tc>
        <w:tc>
          <w:tcPr>
            <w:tcW w:w="2469" w:type="dxa"/>
            <w:tcBorders>
              <w:top w:val="nil"/>
              <w:left w:val="nil"/>
              <w:bottom w:val="nil"/>
              <w:right w:val="nil"/>
            </w:tcBorders>
            <w:noWrap/>
            <w:vAlign w:val="center"/>
          </w:tcPr>
          <w:p w14:paraId="50C0F522"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patients who can correctly describe at least two nursing interventions for dysphagia (e.g., positioning, oral care, feeding assistance)</w:t>
            </w:r>
          </w:p>
        </w:tc>
        <w:tc>
          <w:tcPr>
            <w:tcW w:w="1281" w:type="dxa"/>
            <w:tcBorders>
              <w:top w:val="nil"/>
              <w:left w:val="nil"/>
              <w:bottom w:val="nil"/>
              <w:right w:val="nil"/>
            </w:tcBorders>
            <w:noWrap/>
            <w:vAlign w:val="center"/>
          </w:tcPr>
          <w:p w14:paraId="1588EBB3"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Patient interview</w:t>
            </w:r>
          </w:p>
        </w:tc>
        <w:tc>
          <w:tcPr>
            <w:tcW w:w="1638" w:type="dxa"/>
            <w:tcBorders>
              <w:top w:val="nil"/>
              <w:left w:val="nil"/>
              <w:bottom w:val="nil"/>
              <w:right w:val="nil"/>
            </w:tcBorders>
            <w:noWrap/>
            <w:vAlign w:val="center"/>
          </w:tcPr>
          <w:p w14:paraId="40C6FD68"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On admission and weekly</w:t>
            </w:r>
          </w:p>
        </w:tc>
      </w:tr>
      <w:tr w:rsidR="00E81B10" w:rsidRPr="00F05298" w14:paraId="7D1C4A74" w14:textId="77777777" w:rsidTr="007C0750">
        <w:trPr>
          <w:trHeight w:val="270"/>
          <w:jc w:val="center"/>
        </w:trPr>
        <w:tc>
          <w:tcPr>
            <w:tcW w:w="1228" w:type="dxa"/>
            <w:tcBorders>
              <w:top w:val="nil"/>
              <w:left w:val="nil"/>
              <w:bottom w:val="nil"/>
              <w:right w:val="nil"/>
            </w:tcBorders>
            <w:noWrap/>
            <w:vAlign w:val="center"/>
          </w:tcPr>
          <w:p w14:paraId="336BEF48"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III-3-3</w:t>
            </w:r>
          </w:p>
        </w:tc>
        <w:tc>
          <w:tcPr>
            <w:tcW w:w="1906" w:type="dxa"/>
            <w:tcBorders>
              <w:top w:val="nil"/>
              <w:left w:val="nil"/>
              <w:bottom w:val="nil"/>
              <w:right w:val="nil"/>
            </w:tcBorders>
            <w:noWrap/>
            <w:vAlign w:val="center"/>
          </w:tcPr>
          <w:p w14:paraId="4EC76FCD"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Patient compliance rate with rehabilitation nursing measures for dysphagia</w:t>
            </w:r>
          </w:p>
        </w:tc>
        <w:tc>
          <w:tcPr>
            <w:tcW w:w="2469" w:type="dxa"/>
            <w:tcBorders>
              <w:top w:val="nil"/>
              <w:left w:val="nil"/>
              <w:bottom w:val="nil"/>
              <w:right w:val="nil"/>
            </w:tcBorders>
            <w:noWrap/>
            <w:vAlign w:val="center"/>
          </w:tcPr>
          <w:p w14:paraId="5418F2B9"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Percentage of patients who adhere to prescribed swallowing exercises or rehabilitation activities as recommended</w:t>
            </w:r>
          </w:p>
        </w:tc>
        <w:tc>
          <w:tcPr>
            <w:tcW w:w="1281" w:type="dxa"/>
            <w:tcBorders>
              <w:top w:val="nil"/>
              <w:left w:val="nil"/>
              <w:bottom w:val="nil"/>
              <w:right w:val="nil"/>
            </w:tcBorders>
            <w:noWrap/>
            <w:vAlign w:val="center"/>
          </w:tcPr>
          <w:p w14:paraId="5C248895"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Direct observation; patient self-report log; therapy notes</w:t>
            </w:r>
          </w:p>
        </w:tc>
        <w:tc>
          <w:tcPr>
            <w:tcW w:w="1638" w:type="dxa"/>
            <w:tcBorders>
              <w:top w:val="nil"/>
              <w:left w:val="nil"/>
              <w:bottom w:val="nil"/>
              <w:right w:val="nil"/>
            </w:tcBorders>
            <w:noWrap/>
            <w:vAlign w:val="center"/>
          </w:tcPr>
          <w:p w14:paraId="0098B31F"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Weekly</w:t>
            </w:r>
          </w:p>
        </w:tc>
      </w:tr>
      <w:tr w:rsidR="00E81B10" w:rsidRPr="00F05298" w14:paraId="3C4F54AA" w14:textId="77777777" w:rsidTr="007C0750">
        <w:trPr>
          <w:trHeight w:val="270"/>
          <w:jc w:val="center"/>
        </w:trPr>
        <w:tc>
          <w:tcPr>
            <w:tcW w:w="1228" w:type="dxa"/>
            <w:tcBorders>
              <w:top w:val="nil"/>
              <w:left w:val="nil"/>
              <w:bottom w:val="single" w:sz="12" w:space="0" w:color="000000"/>
              <w:right w:val="nil"/>
            </w:tcBorders>
            <w:noWrap/>
            <w:vAlign w:val="center"/>
          </w:tcPr>
          <w:p w14:paraId="41614C10"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III-3-4</w:t>
            </w:r>
          </w:p>
        </w:tc>
        <w:tc>
          <w:tcPr>
            <w:tcW w:w="1906" w:type="dxa"/>
            <w:tcBorders>
              <w:top w:val="nil"/>
              <w:left w:val="nil"/>
              <w:bottom w:val="single" w:sz="12" w:space="0" w:color="000000"/>
              <w:right w:val="nil"/>
            </w:tcBorders>
            <w:noWrap/>
            <w:vAlign w:val="center"/>
          </w:tcPr>
          <w:p w14:paraId="4CAFD3DC"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t xml:space="preserve">Patient compliance rate with risk prevention and </w:t>
            </w:r>
            <w:r w:rsidRPr="00C926AF">
              <w:rPr>
                <w:rFonts w:ascii="Times New Roman" w:eastAsia="SimSun" w:hAnsi="Times New Roman" w:cs="Times New Roman"/>
                <w:kern w:val="0"/>
                <w:sz w:val="22"/>
                <w:szCs w:val="22"/>
                <w:lang w:bidi="ar"/>
              </w:rPr>
              <w:lastRenderedPageBreak/>
              <w:t>control measures for dysphagia</w:t>
            </w:r>
          </w:p>
        </w:tc>
        <w:tc>
          <w:tcPr>
            <w:tcW w:w="2469" w:type="dxa"/>
            <w:tcBorders>
              <w:top w:val="nil"/>
              <w:left w:val="nil"/>
              <w:bottom w:val="single" w:sz="12" w:space="0" w:color="000000"/>
              <w:right w:val="nil"/>
            </w:tcBorders>
            <w:noWrap/>
            <w:vAlign w:val="center"/>
          </w:tcPr>
          <w:p w14:paraId="105F74CB"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lastRenderedPageBreak/>
              <w:t xml:space="preserve">Percentage of patients who adhere to recommended precautions (e.g., upright positioning during meals, </w:t>
            </w:r>
            <w:r w:rsidRPr="00C926AF">
              <w:rPr>
                <w:rFonts w:ascii="Times New Roman" w:eastAsia="SimSun" w:hAnsi="Times New Roman" w:cs="Times New Roman"/>
                <w:kern w:val="0"/>
                <w:sz w:val="22"/>
                <w:szCs w:val="22"/>
                <w:lang w:bidi="ar"/>
              </w:rPr>
              <w:lastRenderedPageBreak/>
              <w:t>thickened liquids, avoidance of certain foods)</w:t>
            </w:r>
          </w:p>
        </w:tc>
        <w:tc>
          <w:tcPr>
            <w:tcW w:w="1281" w:type="dxa"/>
            <w:tcBorders>
              <w:top w:val="nil"/>
              <w:left w:val="nil"/>
              <w:bottom w:val="single" w:sz="12" w:space="0" w:color="000000"/>
              <w:right w:val="nil"/>
            </w:tcBorders>
            <w:noWrap/>
            <w:vAlign w:val="center"/>
          </w:tcPr>
          <w:p w14:paraId="3910495E"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lastRenderedPageBreak/>
              <w:t xml:space="preserve">Direct observation; patient </w:t>
            </w:r>
            <w:r w:rsidRPr="00C926AF">
              <w:rPr>
                <w:rFonts w:ascii="Times New Roman" w:eastAsia="SimSun" w:hAnsi="Times New Roman" w:cs="Times New Roman"/>
                <w:kern w:val="0"/>
                <w:sz w:val="22"/>
                <w:szCs w:val="22"/>
                <w:lang w:bidi="ar"/>
              </w:rPr>
              <w:lastRenderedPageBreak/>
              <w:t>log; nursing notes</w:t>
            </w:r>
          </w:p>
        </w:tc>
        <w:tc>
          <w:tcPr>
            <w:tcW w:w="1638" w:type="dxa"/>
            <w:tcBorders>
              <w:top w:val="nil"/>
              <w:left w:val="nil"/>
              <w:bottom w:val="single" w:sz="12" w:space="0" w:color="000000"/>
              <w:right w:val="nil"/>
            </w:tcBorders>
            <w:noWrap/>
            <w:vAlign w:val="center"/>
          </w:tcPr>
          <w:p w14:paraId="40DB68C6" w14:textId="77777777" w:rsidR="00E81B10" w:rsidRPr="00C926AF" w:rsidRDefault="00E81B10" w:rsidP="007C0750">
            <w:pPr>
              <w:textAlignment w:val="center"/>
              <w:rPr>
                <w:rFonts w:ascii="Times New Roman" w:eastAsia="SimSun" w:hAnsi="Times New Roman" w:cs="Times New Roman"/>
                <w:sz w:val="22"/>
                <w:szCs w:val="22"/>
              </w:rPr>
            </w:pPr>
            <w:r w:rsidRPr="00C926AF">
              <w:rPr>
                <w:rFonts w:ascii="Times New Roman" w:eastAsia="SimSun" w:hAnsi="Times New Roman" w:cs="Times New Roman"/>
                <w:kern w:val="0"/>
                <w:sz w:val="22"/>
                <w:szCs w:val="22"/>
                <w:lang w:bidi="ar"/>
              </w:rPr>
              <w:lastRenderedPageBreak/>
              <w:t>Weekly</w:t>
            </w:r>
          </w:p>
        </w:tc>
      </w:tr>
    </w:tbl>
    <w:p w14:paraId="4A6FC457" w14:textId="77777777" w:rsidR="00E81B10" w:rsidRPr="00F05298" w:rsidRDefault="00E81B10" w:rsidP="00E81B10">
      <w:pPr>
        <w:spacing w:line="480" w:lineRule="auto"/>
        <w:rPr>
          <w:rFonts w:ascii="Times New Roman" w:hAnsi="Times New Roman" w:cs="Times New Roman"/>
          <w:sz w:val="22"/>
          <w:szCs w:val="22"/>
        </w:rPr>
      </w:pPr>
      <w:r w:rsidRPr="00F05298">
        <w:rPr>
          <w:rFonts w:ascii="Times New Roman" w:hAnsi="Times New Roman" w:cs="Times New Roman"/>
          <w:sz w:val="22"/>
          <w:szCs w:val="22"/>
        </w:rPr>
        <w:t xml:space="preserve">BMI, body mass index; </w:t>
      </w:r>
      <w:r w:rsidRPr="00753F03">
        <w:rPr>
          <w:rFonts w:ascii="Times New Roman" w:hAnsi="Times New Roman" w:cs="Times New Roman"/>
          <w:sz w:val="22"/>
          <w:szCs w:val="22"/>
        </w:rPr>
        <w:t>EAT-10, Eating Assessment Tool-10</w:t>
      </w:r>
      <w:r>
        <w:rPr>
          <w:rFonts w:ascii="Times New Roman" w:hAnsi="Times New Roman" w:cs="Times New Roman" w:hint="eastAsia"/>
          <w:sz w:val="22"/>
          <w:szCs w:val="22"/>
        </w:rPr>
        <w:t xml:space="preserve">; </w:t>
      </w:r>
      <w:r w:rsidRPr="00F05298">
        <w:rPr>
          <w:rFonts w:ascii="Times New Roman" w:hAnsi="Times New Roman" w:cs="Times New Roman"/>
          <w:sz w:val="22"/>
          <w:szCs w:val="22"/>
        </w:rPr>
        <w:t xml:space="preserve">GUSS, Gugging Swallowing Screen; </w:t>
      </w:r>
      <w:r w:rsidRPr="00753F03">
        <w:rPr>
          <w:rFonts w:ascii="Times New Roman" w:hAnsi="Times New Roman" w:cs="Times New Roman"/>
          <w:sz w:val="22"/>
          <w:szCs w:val="22"/>
        </w:rPr>
        <w:t>HR, human resources</w:t>
      </w:r>
      <w:r>
        <w:rPr>
          <w:rFonts w:ascii="Times New Roman" w:hAnsi="Times New Roman" w:cs="Times New Roman" w:hint="eastAsia"/>
          <w:sz w:val="22"/>
          <w:szCs w:val="22"/>
        </w:rPr>
        <w:t xml:space="preserve">; </w:t>
      </w:r>
      <w:r w:rsidRPr="00F05298">
        <w:rPr>
          <w:rFonts w:ascii="Times New Roman" w:hAnsi="Times New Roman" w:cs="Times New Roman"/>
          <w:sz w:val="22"/>
          <w:szCs w:val="22"/>
        </w:rPr>
        <w:t>ICU, intensive care unit; MAR, medication administration record; MNA, Mini Nutritional Assessment; MUST, Malnutrition Universal Screening Tool; NICU, neurosurgery intensive care unit; NPO, nil per os; NRS-2002, Nutritional Risk Screening 2002; SLP, speech-language pathologist; VFSS, videofluoroscopic swallowing study.</w:t>
      </w:r>
    </w:p>
    <w:p w14:paraId="1BF4CDBC" w14:textId="77777777" w:rsidR="0067415F" w:rsidRDefault="0067415F"/>
    <w:sectPr w:rsidR="0067415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E68"/>
    <w:rsid w:val="004244E6"/>
    <w:rsid w:val="0067415F"/>
    <w:rsid w:val="00852E68"/>
    <w:rsid w:val="00E81B10"/>
    <w:rsid w:val="00EF1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413F9-377E-474F-8526-270A1F12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E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2E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2E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2E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2E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2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2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2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2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E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2E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2E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2E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2E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2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2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2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2E68"/>
    <w:rPr>
      <w:rFonts w:eastAsiaTheme="majorEastAsia" w:cstheme="majorBidi"/>
      <w:color w:val="272727" w:themeColor="text1" w:themeTint="D8"/>
    </w:rPr>
  </w:style>
  <w:style w:type="paragraph" w:styleId="Title">
    <w:name w:val="Title"/>
    <w:basedOn w:val="Normal"/>
    <w:next w:val="Normal"/>
    <w:link w:val="TitleChar"/>
    <w:uiPriority w:val="10"/>
    <w:qFormat/>
    <w:rsid w:val="00852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2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2E68"/>
    <w:pPr>
      <w:spacing w:before="160"/>
      <w:jc w:val="center"/>
    </w:pPr>
    <w:rPr>
      <w:i/>
      <w:iCs/>
      <w:color w:val="404040" w:themeColor="text1" w:themeTint="BF"/>
    </w:rPr>
  </w:style>
  <w:style w:type="character" w:customStyle="1" w:styleId="QuoteChar">
    <w:name w:val="Quote Char"/>
    <w:basedOn w:val="DefaultParagraphFont"/>
    <w:link w:val="Quote"/>
    <w:uiPriority w:val="29"/>
    <w:rsid w:val="00852E68"/>
    <w:rPr>
      <w:i/>
      <w:iCs/>
      <w:color w:val="404040" w:themeColor="text1" w:themeTint="BF"/>
    </w:rPr>
  </w:style>
  <w:style w:type="paragraph" w:styleId="ListParagraph">
    <w:name w:val="List Paragraph"/>
    <w:basedOn w:val="Normal"/>
    <w:uiPriority w:val="34"/>
    <w:qFormat/>
    <w:rsid w:val="00852E68"/>
    <w:pPr>
      <w:ind w:left="720"/>
      <w:contextualSpacing/>
    </w:pPr>
  </w:style>
  <w:style w:type="character" w:styleId="IntenseEmphasis">
    <w:name w:val="Intense Emphasis"/>
    <w:basedOn w:val="DefaultParagraphFont"/>
    <w:uiPriority w:val="21"/>
    <w:qFormat/>
    <w:rsid w:val="00852E68"/>
    <w:rPr>
      <w:i/>
      <w:iCs/>
      <w:color w:val="2F5496" w:themeColor="accent1" w:themeShade="BF"/>
    </w:rPr>
  </w:style>
  <w:style w:type="paragraph" w:styleId="IntenseQuote">
    <w:name w:val="Intense Quote"/>
    <w:basedOn w:val="Normal"/>
    <w:next w:val="Normal"/>
    <w:link w:val="IntenseQuoteChar"/>
    <w:uiPriority w:val="30"/>
    <w:qFormat/>
    <w:rsid w:val="00852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2E68"/>
    <w:rPr>
      <w:i/>
      <w:iCs/>
      <w:color w:val="2F5496" w:themeColor="accent1" w:themeShade="BF"/>
    </w:rPr>
  </w:style>
  <w:style w:type="character" w:styleId="IntenseReference">
    <w:name w:val="Intense Reference"/>
    <w:basedOn w:val="DefaultParagraphFont"/>
    <w:uiPriority w:val="32"/>
    <w:qFormat/>
    <w:rsid w:val="00852E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1634</Words>
  <Characters>9318</Characters>
  <Application>Microsoft Office Word</Application>
  <DocSecurity>0</DocSecurity>
  <Lines>77</Lines>
  <Paragraphs>21</Paragraphs>
  <ScaleCrop>false</ScaleCrop>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Wei</dc:creator>
  <cp:keywords/>
  <dc:description/>
  <cp:lastModifiedBy>Robin Wei</cp:lastModifiedBy>
  <cp:revision>2</cp:revision>
  <dcterms:created xsi:type="dcterms:W3CDTF">2026-06-30T03:43:00Z</dcterms:created>
  <dcterms:modified xsi:type="dcterms:W3CDTF">2026-06-30T03:43:00Z</dcterms:modified>
</cp:coreProperties>
</file>