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4EBA8" w14:textId="77777777" w:rsidR="00255A0B" w:rsidRPr="00F05298" w:rsidRDefault="00255A0B" w:rsidP="00255A0B">
      <w:pPr>
        <w:spacing w:line="480" w:lineRule="auto"/>
        <w:jc w:val="center"/>
        <w:rPr>
          <w:rFonts w:ascii="Times New Roman" w:hAnsi="Times New Roman" w:cs="Times New Roman"/>
          <w:b/>
          <w:bCs/>
          <w:sz w:val="22"/>
          <w:szCs w:val="22"/>
        </w:rPr>
      </w:pPr>
      <w:r w:rsidRPr="00E57A57">
        <w:rPr>
          <w:rFonts w:ascii="Times New Roman" w:hAnsi="Times New Roman" w:cs="Times New Roman"/>
          <w:b/>
          <w:bCs/>
          <w:sz w:val="22"/>
          <w:szCs w:val="22"/>
        </w:rPr>
        <w:t xml:space="preserve">Supplementary </w:t>
      </w:r>
      <w:r w:rsidRPr="00F05298">
        <w:rPr>
          <w:rFonts w:ascii="Times New Roman" w:hAnsi="Times New Roman" w:cs="Times New Roman" w:hint="eastAsia"/>
          <w:b/>
          <w:bCs/>
          <w:sz w:val="22"/>
          <w:szCs w:val="22"/>
        </w:rPr>
        <w:t>Table 1. Representative judgment matrix for first-level indicators (AHP)</w:t>
      </w:r>
    </w:p>
    <w:tbl>
      <w:tblPr>
        <w:tblW w:w="0" w:type="auto"/>
        <w:jc w:val="center"/>
        <w:tblCellMar>
          <w:top w:w="15" w:type="dxa"/>
          <w:left w:w="15" w:type="dxa"/>
          <w:bottom w:w="15" w:type="dxa"/>
          <w:right w:w="15" w:type="dxa"/>
        </w:tblCellMar>
        <w:tblLook w:val="04A0" w:firstRow="1" w:lastRow="0" w:firstColumn="1" w:lastColumn="0" w:noHBand="0" w:noVBand="1"/>
      </w:tblPr>
      <w:tblGrid>
        <w:gridCol w:w="1984"/>
        <w:gridCol w:w="1145"/>
        <w:gridCol w:w="949"/>
        <w:gridCol w:w="1554"/>
        <w:gridCol w:w="925"/>
      </w:tblGrid>
      <w:tr w:rsidR="00255A0B" w:rsidRPr="00F05298" w14:paraId="2794FCDD" w14:textId="77777777" w:rsidTr="007C0750">
        <w:trPr>
          <w:tblHeader/>
          <w:jc w:val="center"/>
        </w:trPr>
        <w:tc>
          <w:tcPr>
            <w:tcW w:w="0" w:type="auto"/>
            <w:tcBorders>
              <w:top w:val="single" w:sz="12" w:space="0" w:color="000000"/>
              <w:bottom w:val="single" w:sz="4" w:space="0" w:color="000000"/>
              <w:tl2br w:val="nil"/>
            </w:tcBorders>
            <w:tcMar>
              <w:top w:w="75" w:type="dxa"/>
              <w:left w:w="0" w:type="dxa"/>
              <w:bottom w:w="75" w:type="dxa"/>
              <w:right w:w="120" w:type="dxa"/>
            </w:tcMar>
            <w:vAlign w:val="center"/>
          </w:tcPr>
          <w:p w14:paraId="5D515D54" w14:textId="77777777" w:rsidR="00255A0B" w:rsidRPr="00C926AF" w:rsidRDefault="00255A0B" w:rsidP="007C0750">
            <w:pPr>
              <w:jc w:val="center"/>
              <w:rPr>
                <w:rFonts w:ascii="Times New Roman" w:eastAsia="var(--dsw-font-markdown-table-h" w:hAnsi="Times New Roman" w:cs="Times New Roman"/>
                <w:b/>
                <w:sz w:val="22"/>
                <w:szCs w:val="22"/>
              </w:rPr>
            </w:pPr>
            <w:r w:rsidRPr="00C926AF">
              <w:rPr>
                <w:rFonts w:ascii="Times New Roman" w:eastAsia="var(--dsw-font-markdown-table-h" w:hAnsi="Times New Roman" w:cs="Times New Roman"/>
                <w:b/>
                <w:kern w:val="0"/>
                <w:sz w:val="22"/>
                <w:szCs w:val="22"/>
                <w:lang w:bidi="ar"/>
              </w:rPr>
              <w:t>First-level indicator</w:t>
            </w:r>
          </w:p>
        </w:tc>
        <w:tc>
          <w:tcPr>
            <w:tcW w:w="1079" w:type="dxa"/>
            <w:tcBorders>
              <w:top w:val="single" w:sz="12" w:space="0" w:color="000000"/>
              <w:bottom w:val="single" w:sz="4" w:space="0" w:color="000000"/>
            </w:tcBorders>
            <w:tcMar>
              <w:top w:w="75" w:type="dxa"/>
              <w:left w:w="120" w:type="dxa"/>
              <w:bottom w:w="75" w:type="dxa"/>
              <w:right w:w="120" w:type="dxa"/>
            </w:tcMar>
            <w:vAlign w:val="center"/>
          </w:tcPr>
          <w:p w14:paraId="15763C6E" w14:textId="77777777" w:rsidR="00255A0B" w:rsidRPr="00C926AF" w:rsidRDefault="00255A0B" w:rsidP="007C0750">
            <w:pPr>
              <w:jc w:val="center"/>
              <w:rPr>
                <w:rFonts w:ascii="Times New Roman" w:eastAsia="var(--dsw-font-markdown-table-h" w:hAnsi="Times New Roman" w:cs="Times New Roman"/>
                <w:b/>
                <w:sz w:val="22"/>
                <w:szCs w:val="22"/>
              </w:rPr>
            </w:pPr>
            <w:r w:rsidRPr="00C926AF">
              <w:rPr>
                <w:rFonts w:ascii="Times New Roman" w:eastAsia="var(--dsw-font-markdown-table-h" w:hAnsi="Times New Roman" w:cs="Times New Roman"/>
                <w:b/>
                <w:kern w:val="0"/>
                <w:sz w:val="22"/>
                <w:szCs w:val="22"/>
                <w:lang w:bidi="ar"/>
              </w:rPr>
              <w:t>Structure (</w:t>
            </w:r>
            <w:r w:rsidRPr="00C926AF">
              <w:rPr>
                <w:rFonts w:ascii="Times New Roman" w:eastAsia="var(--dsw-font-markdown-table-h" w:hAnsi="Times New Roman" w:cs="Times New Roman" w:hint="eastAsia"/>
                <w:b/>
                <w:kern w:val="0"/>
                <w:sz w:val="22"/>
                <w:szCs w:val="22"/>
                <w:lang w:bidi="ar"/>
              </w:rPr>
              <w:t>I</w:t>
            </w:r>
            <w:r w:rsidRPr="00C926AF">
              <w:rPr>
                <w:rFonts w:ascii="Times New Roman" w:eastAsia="var(--dsw-font-markdown-table-h" w:hAnsi="Times New Roman" w:cs="Times New Roman"/>
                <w:b/>
                <w:kern w:val="0"/>
                <w:sz w:val="22"/>
                <w:szCs w:val="22"/>
                <w:lang w:bidi="ar"/>
              </w:rPr>
              <w:t>)</w:t>
            </w:r>
          </w:p>
        </w:tc>
        <w:tc>
          <w:tcPr>
            <w:tcW w:w="938" w:type="dxa"/>
            <w:tcBorders>
              <w:top w:val="single" w:sz="12" w:space="0" w:color="000000"/>
              <w:bottom w:val="single" w:sz="4" w:space="0" w:color="000000"/>
            </w:tcBorders>
            <w:tcMar>
              <w:top w:w="75" w:type="dxa"/>
              <w:left w:w="120" w:type="dxa"/>
              <w:bottom w:w="75" w:type="dxa"/>
              <w:right w:w="120" w:type="dxa"/>
            </w:tcMar>
            <w:vAlign w:val="center"/>
          </w:tcPr>
          <w:p w14:paraId="73F9046D" w14:textId="77777777" w:rsidR="00255A0B" w:rsidRPr="00C926AF" w:rsidRDefault="00255A0B" w:rsidP="007C0750">
            <w:pPr>
              <w:jc w:val="center"/>
              <w:rPr>
                <w:rFonts w:ascii="Times New Roman" w:eastAsia="var(--dsw-font-markdown-table-h" w:hAnsi="Times New Roman" w:cs="Times New Roman"/>
                <w:b/>
                <w:sz w:val="22"/>
                <w:szCs w:val="22"/>
              </w:rPr>
            </w:pPr>
            <w:r w:rsidRPr="00C926AF">
              <w:rPr>
                <w:rFonts w:ascii="Times New Roman" w:eastAsia="var(--dsw-font-markdown-table-h" w:hAnsi="Times New Roman" w:cs="Times New Roman"/>
                <w:b/>
                <w:kern w:val="0"/>
                <w:sz w:val="22"/>
                <w:szCs w:val="22"/>
                <w:lang w:bidi="ar"/>
              </w:rPr>
              <w:t>Process (</w:t>
            </w:r>
            <w:r w:rsidRPr="00C926AF">
              <w:rPr>
                <w:rFonts w:ascii="Times New Roman" w:eastAsia="var(--dsw-font-markdown-table-h" w:hAnsi="Times New Roman" w:cs="Times New Roman" w:hint="eastAsia"/>
                <w:b/>
                <w:kern w:val="0"/>
                <w:sz w:val="22"/>
                <w:szCs w:val="22"/>
                <w:lang w:bidi="ar"/>
              </w:rPr>
              <w:t>II</w:t>
            </w:r>
            <w:r w:rsidRPr="00C926AF">
              <w:rPr>
                <w:rFonts w:ascii="Times New Roman" w:eastAsia="var(--dsw-font-markdown-table-h" w:hAnsi="Times New Roman" w:cs="Times New Roman"/>
                <w:b/>
                <w:kern w:val="0"/>
                <w:sz w:val="22"/>
                <w:szCs w:val="22"/>
                <w:lang w:bidi="ar"/>
              </w:rPr>
              <w:t>)</w:t>
            </w:r>
          </w:p>
        </w:tc>
        <w:tc>
          <w:tcPr>
            <w:tcW w:w="0" w:type="auto"/>
            <w:tcBorders>
              <w:top w:val="single" w:sz="12" w:space="0" w:color="000000"/>
              <w:bottom w:val="single" w:sz="4" w:space="0" w:color="000000"/>
            </w:tcBorders>
            <w:tcMar>
              <w:top w:w="75" w:type="dxa"/>
              <w:left w:w="120" w:type="dxa"/>
              <w:bottom w:w="75" w:type="dxa"/>
              <w:right w:w="120" w:type="dxa"/>
            </w:tcMar>
            <w:vAlign w:val="center"/>
          </w:tcPr>
          <w:p w14:paraId="332BB9D7" w14:textId="77777777" w:rsidR="00255A0B" w:rsidRPr="00C926AF" w:rsidRDefault="00255A0B" w:rsidP="007C0750">
            <w:pPr>
              <w:jc w:val="center"/>
              <w:rPr>
                <w:rFonts w:ascii="Times New Roman" w:eastAsia="var(--dsw-font-markdown-table-h" w:hAnsi="Times New Roman" w:cs="Times New Roman"/>
                <w:b/>
                <w:sz w:val="22"/>
                <w:szCs w:val="22"/>
              </w:rPr>
            </w:pPr>
            <w:r w:rsidRPr="00C926AF">
              <w:rPr>
                <w:rFonts w:ascii="Times New Roman" w:eastAsia="var(--dsw-font-markdown-table-h" w:hAnsi="Times New Roman" w:cs="Times New Roman"/>
                <w:b/>
                <w:kern w:val="0"/>
                <w:sz w:val="22"/>
                <w:szCs w:val="22"/>
                <w:lang w:bidi="ar"/>
              </w:rPr>
              <w:t>Outcome (</w:t>
            </w:r>
            <w:r w:rsidRPr="00C926AF">
              <w:rPr>
                <w:rFonts w:ascii="Times New Roman" w:eastAsia="var(--dsw-font-markdown-table-h" w:hAnsi="Times New Roman" w:cs="Times New Roman" w:hint="eastAsia"/>
                <w:b/>
                <w:kern w:val="0"/>
                <w:sz w:val="22"/>
                <w:szCs w:val="22"/>
                <w:lang w:bidi="ar"/>
              </w:rPr>
              <w:t>III</w:t>
            </w:r>
            <w:r w:rsidRPr="00C926AF">
              <w:rPr>
                <w:rFonts w:ascii="Times New Roman" w:eastAsia="var(--dsw-font-markdown-table-h" w:hAnsi="Times New Roman" w:cs="Times New Roman"/>
                <w:b/>
                <w:kern w:val="0"/>
                <w:sz w:val="22"/>
                <w:szCs w:val="22"/>
                <w:lang w:bidi="ar"/>
              </w:rPr>
              <w:t>)</w:t>
            </w:r>
          </w:p>
        </w:tc>
        <w:tc>
          <w:tcPr>
            <w:tcW w:w="0" w:type="auto"/>
            <w:tcBorders>
              <w:top w:val="single" w:sz="12" w:space="0" w:color="000000"/>
              <w:bottom w:val="single" w:sz="4" w:space="0" w:color="000000"/>
            </w:tcBorders>
            <w:tcMar>
              <w:top w:w="75" w:type="dxa"/>
              <w:left w:w="120" w:type="dxa"/>
              <w:bottom w:w="75" w:type="dxa"/>
              <w:right w:w="120" w:type="dxa"/>
            </w:tcMar>
            <w:vAlign w:val="center"/>
          </w:tcPr>
          <w:p w14:paraId="2F854AD8" w14:textId="77777777" w:rsidR="00255A0B" w:rsidRPr="00C926AF" w:rsidRDefault="00255A0B" w:rsidP="007C0750">
            <w:pPr>
              <w:jc w:val="center"/>
              <w:rPr>
                <w:rFonts w:ascii="Times New Roman" w:eastAsia="var(--dsw-font-markdown-table-h" w:hAnsi="Times New Roman" w:cs="Times New Roman"/>
                <w:b/>
                <w:sz w:val="22"/>
                <w:szCs w:val="22"/>
              </w:rPr>
            </w:pPr>
            <w:r w:rsidRPr="00C926AF">
              <w:rPr>
                <w:rFonts w:ascii="Times New Roman" w:eastAsia="var(--dsw-font-markdown-table-h" w:hAnsi="Times New Roman" w:cs="Times New Roman"/>
                <w:b/>
                <w:kern w:val="0"/>
                <w:sz w:val="22"/>
                <w:szCs w:val="22"/>
                <w:lang w:bidi="ar"/>
              </w:rPr>
              <w:t>Weight</w:t>
            </w:r>
          </w:p>
        </w:tc>
      </w:tr>
      <w:tr w:rsidR="00255A0B" w:rsidRPr="00F05298" w14:paraId="5AF88D00" w14:textId="77777777" w:rsidTr="007C0750">
        <w:trPr>
          <w:jc w:val="center"/>
        </w:trPr>
        <w:tc>
          <w:tcPr>
            <w:tcW w:w="0" w:type="auto"/>
            <w:tcBorders>
              <w:top w:val="single" w:sz="4" w:space="0" w:color="000000"/>
            </w:tcBorders>
            <w:tcMar>
              <w:top w:w="75" w:type="dxa"/>
              <w:left w:w="0" w:type="dxa"/>
              <w:bottom w:w="75" w:type="dxa"/>
              <w:right w:w="120" w:type="dxa"/>
            </w:tcMar>
            <w:vAlign w:val="center"/>
          </w:tcPr>
          <w:p w14:paraId="19B56D33" w14:textId="77777777" w:rsidR="00255A0B" w:rsidRPr="00C926AF" w:rsidRDefault="00255A0B" w:rsidP="007C0750">
            <w:pPr>
              <w:jc w:val="center"/>
              <w:rPr>
                <w:rFonts w:ascii="Times New Roman" w:eastAsia="var(--dsw-font-markdown-table)" w:hAnsi="Times New Roman" w:cs="Times New Roman"/>
                <w:sz w:val="22"/>
                <w:szCs w:val="22"/>
              </w:rPr>
            </w:pPr>
            <w:r w:rsidRPr="00C926AF">
              <w:rPr>
                <w:rFonts w:ascii="Times New Roman" w:eastAsia="var(--dsw-font-markdown-table)" w:hAnsi="Times New Roman" w:cs="Times New Roman"/>
                <w:kern w:val="0"/>
                <w:sz w:val="22"/>
                <w:szCs w:val="22"/>
                <w:lang w:bidi="ar"/>
              </w:rPr>
              <w:t>Structure (</w:t>
            </w:r>
            <w:r w:rsidRPr="00C926AF">
              <w:rPr>
                <w:rFonts w:ascii="Times New Roman" w:eastAsia="var(--dsw-font-markdown-table)" w:hAnsi="Times New Roman" w:cs="Times New Roman" w:hint="eastAsia"/>
                <w:kern w:val="0"/>
                <w:sz w:val="22"/>
                <w:szCs w:val="22"/>
                <w:lang w:bidi="ar"/>
              </w:rPr>
              <w:t>I</w:t>
            </w:r>
            <w:r w:rsidRPr="00C926AF">
              <w:rPr>
                <w:rFonts w:ascii="Times New Roman" w:eastAsia="var(--dsw-font-markdown-table)" w:hAnsi="Times New Roman" w:cs="Times New Roman"/>
                <w:kern w:val="0"/>
                <w:sz w:val="22"/>
                <w:szCs w:val="22"/>
                <w:lang w:bidi="ar"/>
              </w:rPr>
              <w:t>)</w:t>
            </w:r>
          </w:p>
        </w:tc>
        <w:tc>
          <w:tcPr>
            <w:tcW w:w="1079" w:type="dxa"/>
            <w:tcBorders>
              <w:top w:val="single" w:sz="4" w:space="0" w:color="000000"/>
            </w:tcBorders>
            <w:tcMar>
              <w:top w:w="75" w:type="dxa"/>
              <w:left w:w="120" w:type="dxa"/>
              <w:bottom w:w="75" w:type="dxa"/>
              <w:right w:w="120" w:type="dxa"/>
            </w:tcMar>
            <w:vAlign w:val="center"/>
          </w:tcPr>
          <w:p w14:paraId="602AF8DE" w14:textId="77777777" w:rsidR="00255A0B" w:rsidRPr="00C926AF" w:rsidRDefault="00255A0B" w:rsidP="007C0750">
            <w:pPr>
              <w:jc w:val="center"/>
              <w:rPr>
                <w:rFonts w:ascii="Times New Roman" w:eastAsia="var(--dsw-font-markdown-table)" w:hAnsi="Times New Roman" w:cs="Times New Roman"/>
                <w:sz w:val="22"/>
                <w:szCs w:val="22"/>
              </w:rPr>
            </w:pPr>
            <w:r w:rsidRPr="00C926AF">
              <w:rPr>
                <w:rFonts w:ascii="Times New Roman" w:eastAsia="var(--dsw-font-markdown-table)" w:hAnsi="Times New Roman" w:cs="Times New Roman"/>
                <w:kern w:val="0"/>
                <w:sz w:val="22"/>
                <w:szCs w:val="22"/>
                <w:lang w:bidi="ar"/>
              </w:rPr>
              <w:t>1</w:t>
            </w:r>
          </w:p>
        </w:tc>
        <w:tc>
          <w:tcPr>
            <w:tcW w:w="938" w:type="dxa"/>
            <w:tcBorders>
              <w:top w:val="single" w:sz="4" w:space="0" w:color="000000"/>
            </w:tcBorders>
            <w:tcMar>
              <w:top w:w="75" w:type="dxa"/>
              <w:left w:w="120" w:type="dxa"/>
              <w:bottom w:w="75" w:type="dxa"/>
              <w:right w:w="120" w:type="dxa"/>
            </w:tcMar>
            <w:vAlign w:val="center"/>
          </w:tcPr>
          <w:p w14:paraId="6B9A5774" w14:textId="77777777" w:rsidR="00255A0B" w:rsidRPr="00C926AF" w:rsidRDefault="00255A0B" w:rsidP="007C0750">
            <w:pPr>
              <w:jc w:val="center"/>
              <w:rPr>
                <w:rFonts w:ascii="Times New Roman" w:eastAsia="var(--dsw-font-markdown-table)" w:hAnsi="Times New Roman" w:cs="Times New Roman"/>
                <w:sz w:val="22"/>
                <w:szCs w:val="22"/>
              </w:rPr>
            </w:pPr>
            <w:r w:rsidRPr="00C926AF">
              <w:rPr>
                <w:rFonts w:ascii="Times New Roman" w:eastAsia="var(--dsw-font-markdown-table)" w:hAnsi="Times New Roman" w:cs="Times New Roman"/>
                <w:kern w:val="0"/>
                <w:sz w:val="22"/>
                <w:szCs w:val="22"/>
                <w:lang w:bidi="ar"/>
              </w:rPr>
              <w:t>0.5</w:t>
            </w:r>
          </w:p>
        </w:tc>
        <w:tc>
          <w:tcPr>
            <w:tcW w:w="0" w:type="auto"/>
            <w:tcBorders>
              <w:top w:val="single" w:sz="4" w:space="0" w:color="000000"/>
            </w:tcBorders>
            <w:tcMar>
              <w:top w:w="75" w:type="dxa"/>
              <w:left w:w="120" w:type="dxa"/>
              <w:bottom w:w="75" w:type="dxa"/>
              <w:right w:w="120" w:type="dxa"/>
            </w:tcMar>
            <w:vAlign w:val="center"/>
          </w:tcPr>
          <w:p w14:paraId="1B19F22E" w14:textId="77777777" w:rsidR="00255A0B" w:rsidRPr="00C926AF" w:rsidRDefault="00255A0B" w:rsidP="007C0750">
            <w:pPr>
              <w:jc w:val="center"/>
              <w:rPr>
                <w:rFonts w:ascii="Times New Roman" w:eastAsia="var(--dsw-font-markdown-table)" w:hAnsi="Times New Roman" w:cs="Times New Roman"/>
                <w:sz w:val="22"/>
                <w:szCs w:val="22"/>
              </w:rPr>
            </w:pPr>
            <w:r w:rsidRPr="00C926AF">
              <w:rPr>
                <w:rFonts w:ascii="Times New Roman" w:eastAsia="var(--dsw-font-markdown-table)" w:hAnsi="Times New Roman" w:cs="Times New Roman"/>
                <w:kern w:val="0"/>
                <w:sz w:val="22"/>
                <w:szCs w:val="22"/>
                <w:lang w:bidi="ar"/>
              </w:rPr>
              <w:t>1</w:t>
            </w:r>
          </w:p>
        </w:tc>
        <w:tc>
          <w:tcPr>
            <w:tcW w:w="0" w:type="auto"/>
            <w:tcBorders>
              <w:top w:val="single" w:sz="4" w:space="0" w:color="000000"/>
            </w:tcBorders>
            <w:tcMar>
              <w:top w:w="75" w:type="dxa"/>
              <w:left w:w="120" w:type="dxa"/>
              <w:bottom w:w="75" w:type="dxa"/>
              <w:right w:w="0" w:type="dxa"/>
            </w:tcMar>
            <w:vAlign w:val="center"/>
          </w:tcPr>
          <w:p w14:paraId="4D6C9E0F" w14:textId="77777777" w:rsidR="00255A0B" w:rsidRPr="00C926AF" w:rsidRDefault="00255A0B" w:rsidP="007C0750">
            <w:pPr>
              <w:jc w:val="center"/>
              <w:rPr>
                <w:rFonts w:ascii="Times New Roman" w:eastAsia="var(--dsw-font-markdown-table)" w:hAnsi="Times New Roman" w:cs="Times New Roman"/>
                <w:sz w:val="22"/>
                <w:szCs w:val="22"/>
              </w:rPr>
            </w:pPr>
            <w:r w:rsidRPr="00C926AF">
              <w:rPr>
                <w:rFonts w:ascii="Times New Roman" w:eastAsia="var(--dsw-font-markdown-table)" w:hAnsi="Times New Roman" w:cs="Times New Roman"/>
                <w:kern w:val="0"/>
                <w:sz w:val="22"/>
                <w:szCs w:val="22"/>
                <w:lang w:bidi="ar"/>
              </w:rPr>
              <w:t>0.240</w:t>
            </w:r>
          </w:p>
        </w:tc>
      </w:tr>
      <w:tr w:rsidR="00255A0B" w:rsidRPr="00F05298" w14:paraId="79143C7F" w14:textId="77777777" w:rsidTr="007C0750">
        <w:trPr>
          <w:jc w:val="center"/>
        </w:trPr>
        <w:tc>
          <w:tcPr>
            <w:tcW w:w="0" w:type="auto"/>
            <w:tcMar>
              <w:top w:w="75" w:type="dxa"/>
              <w:left w:w="0" w:type="dxa"/>
              <w:bottom w:w="75" w:type="dxa"/>
              <w:right w:w="120" w:type="dxa"/>
            </w:tcMar>
            <w:vAlign w:val="center"/>
          </w:tcPr>
          <w:p w14:paraId="0C4613E4" w14:textId="77777777" w:rsidR="00255A0B" w:rsidRPr="00C926AF" w:rsidRDefault="00255A0B" w:rsidP="007C0750">
            <w:pPr>
              <w:jc w:val="center"/>
              <w:rPr>
                <w:rFonts w:ascii="Times New Roman" w:eastAsia="var(--dsw-font-markdown-table)" w:hAnsi="Times New Roman" w:cs="Times New Roman"/>
                <w:sz w:val="22"/>
                <w:szCs w:val="22"/>
              </w:rPr>
            </w:pPr>
            <w:r w:rsidRPr="00C926AF">
              <w:rPr>
                <w:rFonts w:ascii="Times New Roman" w:eastAsia="var(--dsw-font-markdown-table)" w:hAnsi="Times New Roman" w:cs="Times New Roman"/>
                <w:kern w:val="0"/>
                <w:sz w:val="22"/>
                <w:szCs w:val="22"/>
                <w:lang w:bidi="ar"/>
              </w:rPr>
              <w:t>Process (</w:t>
            </w:r>
            <w:r w:rsidRPr="00C926AF">
              <w:rPr>
                <w:rFonts w:ascii="Times New Roman" w:eastAsia="var(--dsw-font-markdown-table)" w:hAnsi="Times New Roman" w:cs="Times New Roman" w:hint="eastAsia"/>
                <w:kern w:val="0"/>
                <w:sz w:val="22"/>
                <w:szCs w:val="22"/>
                <w:lang w:bidi="ar"/>
              </w:rPr>
              <w:t>II</w:t>
            </w:r>
            <w:r w:rsidRPr="00C926AF">
              <w:rPr>
                <w:rFonts w:ascii="Times New Roman" w:eastAsia="var(--dsw-font-markdown-table)" w:hAnsi="Times New Roman" w:cs="Times New Roman"/>
                <w:kern w:val="0"/>
                <w:sz w:val="22"/>
                <w:szCs w:val="22"/>
                <w:lang w:bidi="ar"/>
              </w:rPr>
              <w:t>)</w:t>
            </w:r>
          </w:p>
        </w:tc>
        <w:tc>
          <w:tcPr>
            <w:tcW w:w="1079" w:type="dxa"/>
            <w:tcMar>
              <w:top w:w="75" w:type="dxa"/>
              <w:left w:w="120" w:type="dxa"/>
              <w:bottom w:w="75" w:type="dxa"/>
              <w:right w:w="120" w:type="dxa"/>
            </w:tcMar>
            <w:vAlign w:val="center"/>
          </w:tcPr>
          <w:p w14:paraId="7775D1F7" w14:textId="77777777" w:rsidR="00255A0B" w:rsidRPr="00C926AF" w:rsidRDefault="00255A0B" w:rsidP="007C0750">
            <w:pPr>
              <w:jc w:val="center"/>
              <w:rPr>
                <w:rFonts w:ascii="Times New Roman" w:eastAsia="var(--dsw-font-markdown-table)" w:hAnsi="Times New Roman" w:cs="Times New Roman"/>
                <w:sz w:val="22"/>
                <w:szCs w:val="22"/>
              </w:rPr>
            </w:pPr>
            <w:r w:rsidRPr="00C926AF">
              <w:rPr>
                <w:rFonts w:ascii="Times New Roman" w:eastAsia="var(--dsw-font-markdown-table)" w:hAnsi="Times New Roman" w:cs="Times New Roman"/>
                <w:kern w:val="0"/>
                <w:sz w:val="22"/>
                <w:szCs w:val="22"/>
                <w:lang w:bidi="ar"/>
              </w:rPr>
              <w:t>2</w:t>
            </w:r>
          </w:p>
        </w:tc>
        <w:tc>
          <w:tcPr>
            <w:tcW w:w="938" w:type="dxa"/>
            <w:tcMar>
              <w:top w:w="75" w:type="dxa"/>
              <w:left w:w="120" w:type="dxa"/>
              <w:bottom w:w="75" w:type="dxa"/>
              <w:right w:w="120" w:type="dxa"/>
            </w:tcMar>
            <w:vAlign w:val="center"/>
          </w:tcPr>
          <w:p w14:paraId="7E04DD26" w14:textId="77777777" w:rsidR="00255A0B" w:rsidRPr="00C926AF" w:rsidRDefault="00255A0B" w:rsidP="007C0750">
            <w:pPr>
              <w:jc w:val="center"/>
              <w:rPr>
                <w:rFonts w:ascii="Times New Roman" w:eastAsia="var(--dsw-font-markdown-table)" w:hAnsi="Times New Roman" w:cs="Times New Roman"/>
                <w:sz w:val="22"/>
                <w:szCs w:val="22"/>
              </w:rPr>
            </w:pPr>
            <w:r w:rsidRPr="00C926AF">
              <w:rPr>
                <w:rFonts w:ascii="Times New Roman" w:eastAsia="var(--dsw-font-markdown-table)" w:hAnsi="Times New Roman" w:cs="Times New Roman"/>
                <w:kern w:val="0"/>
                <w:sz w:val="22"/>
                <w:szCs w:val="22"/>
                <w:lang w:bidi="ar"/>
              </w:rPr>
              <w:t>1</w:t>
            </w:r>
          </w:p>
        </w:tc>
        <w:tc>
          <w:tcPr>
            <w:tcW w:w="0" w:type="auto"/>
            <w:tcMar>
              <w:top w:w="75" w:type="dxa"/>
              <w:left w:w="120" w:type="dxa"/>
              <w:bottom w:w="75" w:type="dxa"/>
              <w:right w:w="120" w:type="dxa"/>
            </w:tcMar>
            <w:vAlign w:val="center"/>
          </w:tcPr>
          <w:p w14:paraId="1BA4F4B7" w14:textId="77777777" w:rsidR="00255A0B" w:rsidRPr="00C926AF" w:rsidRDefault="00255A0B" w:rsidP="007C0750">
            <w:pPr>
              <w:jc w:val="center"/>
              <w:rPr>
                <w:rFonts w:ascii="Times New Roman" w:eastAsia="var(--dsw-font-markdown-table)" w:hAnsi="Times New Roman" w:cs="Times New Roman"/>
                <w:sz w:val="22"/>
                <w:szCs w:val="22"/>
              </w:rPr>
            </w:pPr>
            <w:r w:rsidRPr="00C926AF">
              <w:rPr>
                <w:rFonts w:ascii="Times New Roman" w:eastAsia="var(--dsw-font-markdown-table)" w:hAnsi="Times New Roman" w:cs="Times New Roman"/>
                <w:kern w:val="0"/>
                <w:sz w:val="22"/>
                <w:szCs w:val="22"/>
                <w:lang w:bidi="ar"/>
              </w:rPr>
              <w:t>2</w:t>
            </w:r>
          </w:p>
        </w:tc>
        <w:tc>
          <w:tcPr>
            <w:tcW w:w="0" w:type="auto"/>
            <w:tcMar>
              <w:top w:w="75" w:type="dxa"/>
              <w:left w:w="120" w:type="dxa"/>
              <w:bottom w:w="75" w:type="dxa"/>
              <w:right w:w="0" w:type="dxa"/>
            </w:tcMar>
            <w:vAlign w:val="center"/>
          </w:tcPr>
          <w:p w14:paraId="224CD857" w14:textId="77777777" w:rsidR="00255A0B" w:rsidRPr="00C926AF" w:rsidRDefault="00255A0B" w:rsidP="007C0750">
            <w:pPr>
              <w:jc w:val="center"/>
              <w:rPr>
                <w:rFonts w:ascii="Times New Roman" w:eastAsia="var(--dsw-font-markdown-table)" w:hAnsi="Times New Roman" w:cs="Times New Roman"/>
                <w:sz w:val="22"/>
                <w:szCs w:val="22"/>
              </w:rPr>
            </w:pPr>
            <w:r w:rsidRPr="00C926AF">
              <w:rPr>
                <w:rFonts w:ascii="Times New Roman" w:eastAsia="var(--dsw-font-markdown-table)" w:hAnsi="Times New Roman" w:cs="Times New Roman"/>
                <w:kern w:val="0"/>
                <w:sz w:val="22"/>
                <w:szCs w:val="22"/>
                <w:lang w:bidi="ar"/>
              </w:rPr>
              <w:t>0.500</w:t>
            </w:r>
          </w:p>
        </w:tc>
      </w:tr>
      <w:tr w:rsidR="00255A0B" w:rsidRPr="00F05298" w14:paraId="59804DD3" w14:textId="77777777" w:rsidTr="007C0750">
        <w:trPr>
          <w:jc w:val="center"/>
        </w:trPr>
        <w:tc>
          <w:tcPr>
            <w:tcW w:w="0" w:type="auto"/>
            <w:tcBorders>
              <w:bottom w:val="single" w:sz="12" w:space="0" w:color="000000"/>
            </w:tcBorders>
            <w:tcMar>
              <w:top w:w="75" w:type="dxa"/>
              <w:left w:w="0" w:type="dxa"/>
              <w:bottom w:w="75" w:type="dxa"/>
              <w:right w:w="120" w:type="dxa"/>
            </w:tcMar>
            <w:vAlign w:val="center"/>
          </w:tcPr>
          <w:p w14:paraId="1861CB80" w14:textId="77777777" w:rsidR="00255A0B" w:rsidRPr="00C926AF" w:rsidRDefault="00255A0B" w:rsidP="007C0750">
            <w:pPr>
              <w:jc w:val="center"/>
              <w:rPr>
                <w:rFonts w:ascii="Times New Roman" w:eastAsia="var(--dsw-font-markdown-table)" w:hAnsi="Times New Roman" w:cs="Times New Roman"/>
                <w:kern w:val="0"/>
                <w:sz w:val="22"/>
                <w:szCs w:val="22"/>
                <w:lang w:bidi="ar"/>
              </w:rPr>
            </w:pPr>
            <w:r w:rsidRPr="00C926AF">
              <w:rPr>
                <w:rFonts w:ascii="Times New Roman" w:eastAsia="Segoe UI" w:hAnsi="Times New Roman" w:cs="Times New Roman"/>
                <w:sz w:val="22"/>
                <w:szCs w:val="22"/>
                <w:shd w:val="clear" w:color="auto" w:fill="FFFFFF"/>
              </w:rPr>
              <w:t>Outcome (</w:t>
            </w:r>
            <w:r w:rsidRPr="00C926AF">
              <w:rPr>
                <w:rFonts w:ascii="Times New Roman" w:eastAsia="Segoe UI" w:hAnsi="Times New Roman" w:cs="Times New Roman" w:hint="eastAsia"/>
                <w:sz w:val="22"/>
                <w:szCs w:val="22"/>
                <w:shd w:val="clear" w:color="auto" w:fill="FFFFFF"/>
              </w:rPr>
              <w:t>III</w:t>
            </w:r>
            <w:r w:rsidRPr="00C926AF">
              <w:rPr>
                <w:rFonts w:ascii="Times New Roman" w:eastAsia="Segoe UI" w:hAnsi="Times New Roman" w:cs="Times New Roman"/>
                <w:sz w:val="22"/>
                <w:szCs w:val="22"/>
                <w:shd w:val="clear" w:color="auto" w:fill="FFFFFF"/>
              </w:rPr>
              <w:t>)</w:t>
            </w:r>
          </w:p>
        </w:tc>
        <w:tc>
          <w:tcPr>
            <w:tcW w:w="1079" w:type="dxa"/>
            <w:tcBorders>
              <w:bottom w:val="single" w:sz="12" w:space="0" w:color="000000"/>
            </w:tcBorders>
            <w:tcMar>
              <w:top w:w="75" w:type="dxa"/>
              <w:left w:w="120" w:type="dxa"/>
              <w:bottom w:w="75" w:type="dxa"/>
              <w:right w:w="120" w:type="dxa"/>
            </w:tcMar>
            <w:vAlign w:val="center"/>
          </w:tcPr>
          <w:p w14:paraId="7AC8AE9C" w14:textId="77777777" w:rsidR="00255A0B" w:rsidRPr="00C926AF" w:rsidRDefault="00255A0B" w:rsidP="007C0750">
            <w:pPr>
              <w:jc w:val="center"/>
              <w:rPr>
                <w:rFonts w:ascii="Times New Roman" w:eastAsia="var(--dsw-font-markdown-table)" w:hAnsi="Times New Roman" w:cs="Times New Roman"/>
                <w:kern w:val="0"/>
                <w:sz w:val="22"/>
                <w:szCs w:val="22"/>
                <w:lang w:bidi="ar"/>
              </w:rPr>
            </w:pPr>
            <w:r w:rsidRPr="00C926AF">
              <w:rPr>
                <w:rFonts w:ascii="Times New Roman" w:eastAsia="var(--dsw-font-markdown-table)" w:hAnsi="Times New Roman" w:cs="Times New Roman"/>
                <w:kern w:val="0"/>
                <w:sz w:val="22"/>
                <w:szCs w:val="22"/>
                <w:lang w:bidi="ar"/>
              </w:rPr>
              <w:t>1</w:t>
            </w:r>
          </w:p>
        </w:tc>
        <w:tc>
          <w:tcPr>
            <w:tcW w:w="938" w:type="dxa"/>
            <w:tcBorders>
              <w:bottom w:val="single" w:sz="12" w:space="0" w:color="000000"/>
            </w:tcBorders>
            <w:tcMar>
              <w:top w:w="75" w:type="dxa"/>
              <w:left w:w="120" w:type="dxa"/>
              <w:bottom w:w="75" w:type="dxa"/>
              <w:right w:w="120" w:type="dxa"/>
            </w:tcMar>
            <w:vAlign w:val="center"/>
          </w:tcPr>
          <w:p w14:paraId="7FDF90F4" w14:textId="77777777" w:rsidR="00255A0B" w:rsidRPr="00C926AF" w:rsidRDefault="00255A0B" w:rsidP="007C0750">
            <w:pPr>
              <w:jc w:val="center"/>
              <w:rPr>
                <w:rFonts w:ascii="Times New Roman" w:eastAsia="var(--dsw-font-markdown-table)" w:hAnsi="Times New Roman" w:cs="Times New Roman"/>
                <w:kern w:val="0"/>
                <w:sz w:val="22"/>
                <w:szCs w:val="22"/>
                <w:lang w:bidi="ar"/>
              </w:rPr>
            </w:pPr>
            <w:r w:rsidRPr="00C926AF">
              <w:rPr>
                <w:rFonts w:ascii="Times New Roman" w:eastAsia="var(--dsw-font-markdown-table)" w:hAnsi="Times New Roman" w:cs="Times New Roman"/>
                <w:kern w:val="0"/>
                <w:sz w:val="22"/>
                <w:szCs w:val="22"/>
                <w:lang w:bidi="ar"/>
              </w:rPr>
              <w:t>0.5</w:t>
            </w:r>
          </w:p>
        </w:tc>
        <w:tc>
          <w:tcPr>
            <w:tcW w:w="0" w:type="auto"/>
            <w:tcBorders>
              <w:bottom w:val="single" w:sz="12" w:space="0" w:color="000000"/>
            </w:tcBorders>
            <w:tcMar>
              <w:top w:w="75" w:type="dxa"/>
              <w:left w:w="120" w:type="dxa"/>
              <w:bottom w:w="75" w:type="dxa"/>
              <w:right w:w="120" w:type="dxa"/>
            </w:tcMar>
            <w:vAlign w:val="center"/>
          </w:tcPr>
          <w:p w14:paraId="3EC8CB44" w14:textId="77777777" w:rsidR="00255A0B" w:rsidRPr="00C926AF" w:rsidRDefault="00255A0B" w:rsidP="007C0750">
            <w:pPr>
              <w:jc w:val="center"/>
              <w:rPr>
                <w:rFonts w:ascii="Times New Roman" w:eastAsia="var(--dsw-font-markdown-table)" w:hAnsi="Times New Roman" w:cs="Times New Roman"/>
                <w:kern w:val="0"/>
                <w:sz w:val="22"/>
                <w:szCs w:val="22"/>
                <w:lang w:bidi="ar"/>
              </w:rPr>
            </w:pPr>
            <w:r w:rsidRPr="00C926AF">
              <w:rPr>
                <w:rFonts w:ascii="Times New Roman" w:eastAsia="var(--dsw-font-markdown-table)" w:hAnsi="Times New Roman" w:cs="Times New Roman"/>
                <w:kern w:val="0"/>
                <w:sz w:val="22"/>
                <w:szCs w:val="22"/>
                <w:lang w:bidi="ar"/>
              </w:rPr>
              <w:t>1</w:t>
            </w:r>
          </w:p>
        </w:tc>
        <w:tc>
          <w:tcPr>
            <w:tcW w:w="0" w:type="auto"/>
            <w:tcBorders>
              <w:bottom w:val="single" w:sz="12" w:space="0" w:color="000000"/>
            </w:tcBorders>
            <w:tcMar>
              <w:top w:w="75" w:type="dxa"/>
              <w:left w:w="120" w:type="dxa"/>
              <w:bottom w:w="75" w:type="dxa"/>
              <w:right w:w="0" w:type="dxa"/>
            </w:tcMar>
            <w:vAlign w:val="center"/>
          </w:tcPr>
          <w:p w14:paraId="382AB576" w14:textId="77777777" w:rsidR="00255A0B" w:rsidRPr="00C926AF" w:rsidRDefault="00255A0B" w:rsidP="007C0750">
            <w:pPr>
              <w:jc w:val="center"/>
              <w:rPr>
                <w:rFonts w:ascii="Times New Roman" w:eastAsia="var(--dsw-font-markdown-table)" w:hAnsi="Times New Roman" w:cs="Times New Roman"/>
                <w:kern w:val="0"/>
                <w:sz w:val="22"/>
                <w:szCs w:val="22"/>
                <w:lang w:bidi="ar"/>
              </w:rPr>
            </w:pPr>
            <w:r w:rsidRPr="00C926AF">
              <w:rPr>
                <w:rFonts w:ascii="Times New Roman" w:eastAsia="var(--dsw-font-markdown-table)" w:hAnsi="Times New Roman" w:cs="Times New Roman"/>
                <w:kern w:val="0"/>
                <w:sz w:val="22"/>
                <w:szCs w:val="22"/>
                <w:lang w:bidi="ar"/>
              </w:rPr>
              <w:t>0.260</w:t>
            </w:r>
          </w:p>
        </w:tc>
      </w:tr>
    </w:tbl>
    <w:p w14:paraId="17D83DFC" w14:textId="2A368F51" w:rsidR="0067415F" w:rsidRDefault="00255A0B">
      <w:r w:rsidRPr="00F05298">
        <w:rPr>
          <w:rFonts w:ascii="Times New Roman" w:hAnsi="Times New Roman" w:cs="Times New Roman" w:hint="eastAsia"/>
          <w:sz w:val="22"/>
          <w:szCs w:val="22"/>
        </w:rPr>
        <w:t>Consistency ratio (</w:t>
      </w:r>
      <w:bookmarkStart w:id="0" w:name="OLE_LINK40"/>
      <w:r w:rsidRPr="00F05298">
        <w:rPr>
          <w:rFonts w:ascii="Times New Roman" w:hAnsi="Times New Roman" w:cs="Times New Roman" w:hint="eastAsia"/>
          <w:sz w:val="22"/>
          <w:szCs w:val="22"/>
        </w:rPr>
        <w:t>CR</w:t>
      </w:r>
      <w:bookmarkEnd w:id="0"/>
      <w:r w:rsidRPr="00F05298">
        <w:rPr>
          <w:rFonts w:ascii="Times New Roman" w:hAnsi="Times New Roman" w:cs="Times New Roman" w:hint="eastAsia"/>
          <w:sz w:val="22"/>
          <w:szCs w:val="22"/>
        </w:rPr>
        <w:t xml:space="preserve">): 0.000 (&lt;0.10, acceptable). </w:t>
      </w:r>
      <w:r w:rsidRPr="00C926AF">
        <w:rPr>
          <w:rFonts w:ascii="Times New Roman" w:hAnsi="Times New Roman" w:cs="Times New Roman"/>
          <w:sz w:val="22"/>
          <w:szCs w:val="22"/>
        </w:rPr>
        <w:t xml:space="preserve">The weights presented in this table are derived from the geometric mean of all 25 </w:t>
      </w:r>
      <w:r w:rsidRPr="00C926AF">
        <w:rPr>
          <w:rFonts w:ascii="Times New Roman" w:hAnsi="Times New Roman" w:cs="Times New Roman" w:hint="eastAsia"/>
          <w:sz w:val="22"/>
          <w:szCs w:val="22"/>
        </w:rPr>
        <w:t>experts</w:t>
      </w:r>
      <w:r w:rsidRPr="00C926AF">
        <w:rPr>
          <w:rFonts w:ascii="Times New Roman" w:hAnsi="Times New Roman" w:cs="Times New Roman"/>
          <w:sz w:val="22"/>
          <w:szCs w:val="22"/>
        </w:rPr>
        <w:t>’ pairwise comparisons. The slight numerical discrepancy between the simplified judgment matrix (which suggests equal weights for Structure and Outcome) and the final weights (0.240 vs 0.260) results from rounding of aggregated expert judgments. The CR for the aggregated matrix remains &lt;0.10, confirming acceptable consistency. All second-level and third-level judgment matrices also had CR values &lt;0.10</w:t>
      </w:r>
      <w:r w:rsidRPr="00C926AF">
        <w:rPr>
          <w:rFonts w:ascii="Times New Roman" w:hAnsi="Times New Roman" w:cs="Times New Roman" w:hint="eastAsia"/>
          <w:sz w:val="22"/>
          <w:szCs w:val="22"/>
        </w:rPr>
        <w:t xml:space="preserve">. </w:t>
      </w:r>
      <w:r w:rsidRPr="00C926AF">
        <w:rPr>
          <w:rFonts w:ascii="Times New Roman" w:hAnsi="Times New Roman" w:cs="Times New Roman"/>
          <w:sz w:val="22"/>
          <w:szCs w:val="22"/>
        </w:rPr>
        <w:t>AHP</w:t>
      </w:r>
      <w:r w:rsidRPr="00C926AF">
        <w:rPr>
          <w:rFonts w:ascii="Times New Roman" w:hAnsi="Times New Roman" w:cs="Times New Roman" w:hint="eastAsia"/>
          <w:sz w:val="22"/>
          <w:szCs w:val="22"/>
        </w:rPr>
        <w:t xml:space="preserve">, </w:t>
      </w:r>
      <w:r w:rsidRPr="00C926AF">
        <w:rPr>
          <w:rFonts w:ascii="Times New Roman" w:hAnsi="Times New Roman" w:cs="Times New Roman"/>
          <w:sz w:val="22"/>
          <w:szCs w:val="22"/>
        </w:rPr>
        <w:t>analytic hierarchy process</w:t>
      </w:r>
      <w:r w:rsidRPr="00C926AF">
        <w:rPr>
          <w:rFonts w:ascii="Times New Roman" w:hAnsi="Times New Roman" w:cs="Times New Roman" w:hint="eastAsia"/>
          <w:sz w:val="22"/>
          <w:szCs w:val="22"/>
        </w:rPr>
        <w:t>.</w:t>
      </w:r>
    </w:p>
    <w:sectPr w:rsidR="0067415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ar(--dsw-font-markdown-table-h">
    <w:altName w:val="Segoe Print"/>
    <w:charset w:val="00"/>
    <w:family w:val="auto"/>
    <w:pitch w:val="default"/>
  </w:font>
  <w:font w:name="var(--dsw-font-markdown-table)">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DFC"/>
    <w:rsid w:val="00255A0B"/>
    <w:rsid w:val="004244E6"/>
    <w:rsid w:val="0067415F"/>
    <w:rsid w:val="00CD5DFC"/>
    <w:rsid w:val="00EF1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D0198D-A8F5-4B90-B5AF-536BE7F86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5D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5D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5DF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5DF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5DF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5D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5D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5D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5D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D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5D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5D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5D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5D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5D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5D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5D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5DFC"/>
    <w:rPr>
      <w:rFonts w:eastAsiaTheme="majorEastAsia" w:cstheme="majorBidi"/>
      <w:color w:val="272727" w:themeColor="text1" w:themeTint="D8"/>
    </w:rPr>
  </w:style>
  <w:style w:type="paragraph" w:styleId="Title">
    <w:name w:val="Title"/>
    <w:basedOn w:val="Normal"/>
    <w:next w:val="Normal"/>
    <w:link w:val="TitleChar"/>
    <w:uiPriority w:val="10"/>
    <w:qFormat/>
    <w:rsid w:val="00CD5D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5D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5D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5D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5DFC"/>
    <w:pPr>
      <w:spacing w:before="160"/>
      <w:jc w:val="center"/>
    </w:pPr>
    <w:rPr>
      <w:i/>
      <w:iCs/>
      <w:color w:val="404040" w:themeColor="text1" w:themeTint="BF"/>
    </w:rPr>
  </w:style>
  <w:style w:type="character" w:customStyle="1" w:styleId="QuoteChar">
    <w:name w:val="Quote Char"/>
    <w:basedOn w:val="DefaultParagraphFont"/>
    <w:link w:val="Quote"/>
    <w:uiPriority w:val="29"/>
    <w:rsid w:val="00CD5DFC"/>
    <w:rPr>
      <w:i/>
      <w:iCs/>
      <w:color w:val="404040" w:themeColor="text1" w:themeTint="BF"/>
    </w:rPr>
  </w:style>
  <w:style w:type="paragraph" w:styleId="ListParagraph">
    <w:name w:val="List Paragraph"/>
    <w:basedOn w:val="Normal"/>
    <w:uiPriority w:val="34"/>
    <w:qFormat/>
    <w:rsid w:val="00CD5DFC"/>
    <w:pPr>
      <w:ind w:left="720"/>
      <w:contextualSpacing/>
    </w:pPr>
  </w:style>
  <w:style w:type="character" w:styleId="IntenseEmphasis">
    <w:name w:val="Intense Emphasis"/>
    <w:basedOn w:val="DefaultParagraphFont"/>
    <w:uiPriority w:val="21"/>
    <w:qFormat/>
    <w:rsid w:val="00CD5DFC"/>
    <w:rPr>
      <w:i/>
      <w:iCs/>
      <w:color w:val="2F5496" w:themeColor="accent1" w:themeShade="BF"/>
    </w:rPr>
  </w:style>
  <w:style w:type="paragraph" w:styleId="IntenseQuote">
    <w:name w:val="Intense Quote"/>
    <w:basedOn w:val="Normal"/>
    <w:next w:val="Normal"/>
    <w:link w:val="IntenseQuoteChar"/>
    <w:uiPriority w:val="30"/>
    <w:qFormat/>
    <w:rsid w:val="00CD5D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5DFC"/>
    <w:rPr>
      <w:i/>
      <w:iCs/>
      <w:color w:val="2F5496" w:themeColor="accent1" w:themeShade="BF"/>
    </w:rPr>
  </w:style>
  <w:style w:type="character" w:styleId="IntenseReference">
    <w:name w:val="Intense Reference"/>
    <w:basedOn w:val="DefaultParagraphFont"/>
    <w:uiPriority w:val="32"/>
    <w:qFormat/>
    <w:rsid w:val="00CD5D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Wei</dc:creator>
  <cp:keywords/>
  <dc:description/>
  <cp:lastModifiedBy>Robin Wei</cp:lastModifiedBy>
  <cp:revision>2</cp:revision>
  <dcterms:created xsi:type="dcterms:W3CDTF">2026-06-30T03:43:00Z</dcterms:created>
  <dcterms:modified xsi:type="dcterms:W3CDTF">2026-06-30T03:43:00Z</dcterms:modified>
</cp:coreProperties>
</file>