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B09B" w14:textId="77777777" w:rsidR="006D02A5" w:rsidRPr="00C07051" w:rsidRDefault="006D02A5" w:rsidP="006D02A5">
      <w:pPr>
        <w:spacing w:after="240" w:line="480" w:lineRule="auto"/>
        <w:rPr>
          <w:rFonts w:ascii="Times New Roman" w:hAnsi="Times New Roman" w:cs="Times New Roman"/>
          <w:b/>
          <w:bCs/>
          <w:lang w:bidi="en-US"/>
        </w:rPr>
      </w:pPr>
    </w:p>
    <w:p w14:paraId="1120FFE1" w14:textId="77777777" w:rsidR="006D02A5" w:rsidRPr="00C07051" w:rsidRDefault="006D02A5" w:rsidP="006D02A5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/>
          <w:b/>
          <w:bCs/>
          <w:lang w:bidi="en-US"/>
        </w:rPr>
        <w:t>Supplementary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  <w:lang w:bidi="en-US"/>
        </w:rPr>
        <w:t>T</w:t>
      </w:r>
      <w:r w:rsidRPr="00C07051">
        <w:rPr>
          <w:rFonts w:ascii="Times New Roman" w:hAnsi="Times New Roman" w:cs="Times New Roman"/>
          <w:b/>
          <w:bCs/>
          <w:lang w:bidi="en-US"/>
        </w:rPr>
        <w:t>able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3.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Characteristics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of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matched</w:t>
      </w:r>
      <w:r>
        <w:rPr>
          <w:rFonts w:ascii="Times New Roman" w:hAnsi="Times New Roman" w:cs="Times New Roman" w:hint="eastAsia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  <w:lang w:bidi="en-US"/>
        </w:rPr>
        <w:t>liver</w:t>
      </w:r>
      <w:r>
        <w:rPr>
          <w:rFonts w:ascii="Times New Roman" w:hAnsi="Times New Roman" w:cs="Times New Roman" w:hint="eastAsia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  <w:lang w:bidi="en-US"/>
        </w:rPr>
        <w:t>cirrhosis</w:t>
      </w:r>
      <w:r>
        <w:rPr>
          <w:rFonts w:ascii="Times New Roman" w:hAnsi="Times New Roman" w:cs="Times New Roman" w:hint="eastAsia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patients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with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and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without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hepatocellular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carcinoma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3"/>
        <w:gridCol w:w="956"/>
        <w:gridCol w:w="309"/>
        <w:gridCol w:w="772"/>
        <w:gridCol w:w="758"/>
        <w:gridCol w:w="308"/>
        <w:gridCol w:w="648"/>
        <w:gridCol w:w="798"/>
        <w:gridCol w:w="298"/>
      </w:tblGrid>
      <w:tr w:rsidR="006D02A5" w:rsidRPr="00C07051" w14:paraId="510AAE76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1ED9" w14:textId="77777777" w:rsidR="006D02A5" w:rsidRPr="00C07051" w:rsidRDefault="006D02A5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48F0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Cirrhosis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</w:p>
        </w:tc>
        <w:tc>
          <w:tcPr>
            <w:tcW w:w="1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24C8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Cirrhosis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without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07C4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7B87F0D5" w14:textId="77777777" w:rsidTr="007B0561">
        <w:trPr>
          <w:trHeight w:val="399"/>
        </w:trPr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D0EA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Mean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7800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6D6B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7E69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4222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D02A5" w:rsidRPr="00C07051" w14:paraId="4F1D3C50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1D75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years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192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8D21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293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CE92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729C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DA9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4EB5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0.4946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4614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68CFD3A3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BB1B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Gender,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BFD2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13/8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99EE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9/12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139B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0.2151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A7A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3AA54D16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12B3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F/M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0185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(62/38)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1066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(43/57)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0508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ADA4" w14:textId="77777777" w:rsidR="006D02A5" w:rsidRPr="00C07051" w:rsidRDefault="006D02A5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2A5" w:rsidRPr="00C07051" w14:paraId="599446D9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D08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Etiology,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A627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8/2/2/6/3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15E3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10/1/1/5/4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78A2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0.8914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085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0FFEC07A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C614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HCV/HBV/alcohol/MASLD/others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BF8A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(38/10/10/29/13)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D58C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(48/5/5/24/18)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091E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92A5" w14:textId="77777777" w:rsidR="006D02A5" w:rsidRPr="00C07051" w:rsidRDefault="006D02A5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2A5" w:rsidRPr="00C07051" w14:paraId="0E656800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B79A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Child-Pugh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grade,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5A05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16/5/0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722B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17/4/0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BB4F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774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5B8FBE1B" w14:textId="77777777" w:rsidTr="007B0561">
        <w:trPr>
          <w:trHeight w:val="396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7238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A/B/C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C8F8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(76/24/0)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7C34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(81/19/0)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B3E1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822C" w14:textId="77777777" w:rsidR="006D02A5" w:rsidRPr="00C07051" w:rsidRDefault="006D02A5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2A5" w:rsidRPr="00C07051" w14:paraId="25BEAF5B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EFD8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ALBI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09BC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4A16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133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97E4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A872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F41B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8FB8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0.7849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4C81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25C3E93D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FC45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FIB-4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9E1C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771A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25F7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68F2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DB31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A105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1BD4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0.8536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3C8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22864069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8ADF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MELD-Na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7250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571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8950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7D08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73E0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154B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AB93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0.8249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EB43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232A2B4B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B22C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F40A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2835.8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E3FE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889A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659.7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4334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2964.3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F1C3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B7CF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727.2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3E3D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0.5520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9349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11F939E4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9292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B8F7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928.4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1F8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79EB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209.8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0BE7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999.3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8D75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BAF6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250.3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5A11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0.3254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0AD4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2B7B0033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8F43" w14:textId="77777777" w:rsidR="006D02A5" w:rsidRPr="00C07051" w:rsidRDefault="006D02A5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AFFF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750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212D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8599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3F02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167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3B2E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0.0958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21CA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0EF36B60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78C0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1784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712.3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24E0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460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171.2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F294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788.7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13C6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E01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203.9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4CB7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0.1961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E82A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2423DBC9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0CBB" w14:textId="77777777" w:rsidR="006D02A5" w:rsidRPr="00C07051" w:rsidRDefault="006D02A5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2704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B06D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159F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4E4C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BC22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4E61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939C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C69A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6D02A5" w:rsidRPr="00C07051" w14:paraId="67531B26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7FB2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82B1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179.8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8E87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9CCC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0A17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205.3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CEE0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3BE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92.4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95D6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0.3733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FDE6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428821C7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5C4A" w14:textId="77777777" w:rsidR="006D02A5" w:rsidRPr="00C07051" w:rsidRDefault="006D02A5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AC4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A305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CD49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3487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CBB3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75C2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643F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0.2959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BDBE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6013D8CE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9D97" w14:textId="77777777" w:rsidR="006D02A5" w:rsidRPr="00C07051" w:rsidRDefault="006D02A5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n-6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A2F1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978.2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BF68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DA09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250.3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82A1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971.0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41E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94C7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261.6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509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0.9280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9617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357B7B9E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389D" w14:textId="77777777" w:rsidR="006D02A5" w:rsidRPr="00C07051" w:rsidRDefault="006D02A5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E0D0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561E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8C79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D40D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C53F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E98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2871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0.1046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7FCC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66FADE5A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3350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SMI,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/m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78E0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0A08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BAE2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521D" w14:textId="77777777" w:rsidR="006D02A5" w:rsidRPr="00C07051" w:rsidRDefault="006D02A5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C621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9E2F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269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0.3669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CEF7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27244F83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1004" w14:textId="77777777" w:rsidR="006D02A5" w:rsidRPr="00C07051" w:rsidRDefault="006D02A5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Presence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43D2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14/7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8503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15/6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A6FF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0.7385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557B" w14:textId="77777777" w:rsidR="006D02A5" w:rsidRPr="00C07051" w:rsidRDefault="006D02A5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2A5" w:rsidRPr="00C07051" w14:paraId="0D9B0A75" w14:textId="77777777" w:rsidTr="007B0561">
        <w:trPr>
          <w:trHeight w:val="312"/>
        </w:trPr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29EF" w14:textId="77777777" w:rsidR="006D02A5" w:rsidRPr="00C07051" w:rsidRDefault="006D02A5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sarcopenia/non</w:t>
            </w: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8B64" w14:textId="77777777" w:rsidR="006D02A5" w:rsidRPr="00C07051" w:rsidRDefault="006D02A5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(67/23)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65CD" w14:textId="77777777" w:rsidR="006D02A5" w:rsidRPr="00C07051" w:rsidRDefault="006D02A5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(71/29)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4795" w14:textId="77777777" w:rsidR="006D02A5" w:rsidRPr="00C07051" w:rsidRDefault="006D02A5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FE5D" w14:textId="77777777" w:rsidR="006D02A5" w:rsidRPr="00C07051" w:rsidRDefault="006D02A5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ECE7B9" w14:textId="77777777" w:rsidR="006D02A5" w:rsidRPr="00C07051" w:rsidRDefault="006D02A5" w:rsidP="006D02A5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/>
          <w:lang w:bidi="en-US"/>
        </w:rPr>
        <w:t>S.D.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standard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deviation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HCV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HBV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MASLD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metabolic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dysfunction-associated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steatotic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disease;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BCLC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Barcelona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Clinical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Cancer;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ALBI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albumin-bilirubin;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FIB-4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fibrosis-4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score;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MELD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model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of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end-stage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liver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disease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lastRenderedPageBreak/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monounsaturated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polyunsaturated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CRP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C-reactive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protein;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SMI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skeletal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muscle</w:t>
      </w:r>
      <w:r>
        <w:rPr>
          <w:rFonts w:ascii="Times New Roman" w:hAnsi="Times New Roman" w:cs="Times New Roman" w:hint="eastAsia"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lang w:bidi="en-US"/>
        </w:rPr>
        <w:t>mass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index</w:t>
      </w:r>
      <w:r>
        <w:rPr>
          <w:rFonts w:ascii="Times New Roman" w:hAnsi="Times New Roman" w:cs="Times New Roman" w:hint="eastAsia"/>
          <w:lang w:bidi="en-US"/>
        </w:rPr>
        <w:t>.</w:t>
      </w:r>
      <w:r>
        <w:rPr>
          <w:rFonts w:ascii="Times New Roman" w:hAnsi="Times New Roman" w:cs="Times New Roman"/>
          <w:lang w:bidi="en-US"/>
        </w:rPr>
        <w:t xml:space="preserve"> </w:t>
      </w:r>
    </w:p>
    <w:p w14:paraId="0E82670C" w14:textId="77777777" w:rsidR="006D02A5" w:rsidRPr="00C07051" w:rsidRDefault="006D02A5" w:rsidP="006D02A5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 w:hint="eastAsia"/>
          <w:lang w:bidi="en-US"/>
        </w:rPr>
        <w:t>*</w:t>
      </w:r>
      <w:r w:rsidRPr="00C07051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i/>
          <w:iCs/>
          <w:lang w:bidi="en-US"/>
        </w:rPr>
        <w:t>p</w:t>
      </w:r>
      <w:r>
        <w:rPr>
          <w:rFonts w:ascii="Times New Roman" w:hAnsi="Times New Roman" w:cs="Times New Roman" w:hint="eastAsia"/>
          <w:lang w:bidi="en-US"/>
        </w:rPr>
        <w:t>-</w:t>
      </w:r>
      <w:r w:rsidRPr="00C07051">
        <w:rPr>
          <w:rFonts w:ascii="Times New Roman" w:hAnsi="Times New Roman" w:cs="Times New Roman"/>
          <w:lang w:bidi="en-US"/>
        </w:rPr>
        <w:t>value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&lt;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0.05</w:t>
      </w:r>
    </w:p>
    <w:p w14:paraId="3EAA46E0" w14:textId="77777777" w:rsidR="0051341B" w:rsidRDefault="0051341B"/>
    <w:sectPr w:rsidR="005134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7EDC" w14:textId="77777777" w:rsidR="00E61CFB" w:rsidRDefault="00E61CFB" w:rsidP="006D02A5">
      <w:pPr>
        <w:spacing w:after="0" w:line="240" w:lineRule="auto"/>
      </w:pPr>
      <w:r>
        <w:separator/>
      </w:r>
    </w:p>
  </w:endnote>
  <w:endnote w:type="continuationSeparator" w:id="0">
    <w:p w14:paraId="075F62FC" w14:textId="77777777" w:rsidR="00E61CFB" w:rsidRDefault="00E61CFB" w:rsidP="006D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2D96" w14:textId="77777777" w:rsidR="00E61CFB" w:rsidRDefault="00E61CFB" w:rsidP="006D02A5">
      <w:pPr>
        <w:spacing w:after="0" w:line="240" w:lineRule="auto"/>
      </w:pPr>
      <w:r>
        <w:separator/>
      </w:r>
    </w:p>
  </w:footnote>
  <w:footnote w:type="continuationSeparator" w:id="0">
    <w:p w14:paraId="330EE104" w14:textId="77777777" w:rsidR="00E61CFB" w:rsidRDefault="00E61CFB" w:rsidP="006D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B"/>
    <w:rsid w:val="0051341B"/>
    <w:rsid w:val="006D02A5"/>
    <w:rsid w:val="00C46875"/>
    <w:rsid w:val="00E6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84AD1F-9DFF-4AE5-A865-DDAB1A7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2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A5"/>
  </w:style>
  <w:style w:type="paragraph" w:styleId="Footer">
    <w:name w:val="footer"/>
    <w:basedOn w:val="Normal"/>
    <w:link w:val="FooterChar"/>
    <w:uiPriority w:val="99"/>
    <w:unhideWhenUsed/>
    <w:rsid w:val="006D02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2024-05-28T12:05:00Z</dcterms:created>
  <dcterms:modified xsi:type="dcterms:W3CDTF">2024-05-28T12:05:00Z</dcterms:modified>
</cp:coreProperties>
</file>