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26" w:rsidRDefault="00327905" w:rsidP="00327905">
      <w:pPr>
        <w:spacing w:line="360" w:lineRule="auto"/>
        <w:rPr>
          <w:rFonts w:hint="eastAsia"/>
        </w:rPr>
      </w:pPr>
      <w:proofErr w:type="gramStart"/>
      <w:r w:rsidRPr="00327905">
        <w:rPr>
          <w:rFonts w:eastAsia="等线"/>
          <w:b/>
          <w:bCs/>
          <w:color w:val="000000"/>
        </w:rPr>
        <w:t>Supplementary Table 1.</w:t>
      </w:r>
      <w:proofErr w:type="gramEnd"/>
      <w:r w:rsidRPr="00327905">
        <w:rPr>
          <w:rFonts w:eastAsia="等线"/>
          <w:b/>
          <w:bCs/>
          <w:color w:val="000000"/>
        </w:rPr>
        <w:t xml:space="preserve"> Baseline characteristics of biopsy-confirmed Chinese MAFLD patients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5152"/>
      </w:tblGrid>
      <w:tr w:rsidR="00327905" w:rsidRPr="00327905" w:rsidTr="00327905">
        <w:trPr>
          <w:trHeight w:val="70"/>
        </w:trPr>
        <w:tc>
          <w:tcPr>
            <w:tcW w:w="19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 xml:space="preserve">　</w:t>
            </w:r>
          </w:p>
        </w:tc>
        <w:tc>
          <w:tcPr>
            <w:tcW w:w="30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b/>
                <w:bCs/>
                <w:color w:val="000000"/>
              </w:rPr>
            </w:pPr>
            <w:r w:rsidRPr="00327905">
              <w:rPr>
                <w:rFonts w:eastAsia="等线"/>
                <w:b/>
                <w:bCs/>
                <w:color w:val="000000"/>
              </w:rPr>
              <w:t>Biopsy-confirmed NAFLD</w:t>
            </w:r>
            <w:r>
              <w:rPr>
                <w:rFonts w:eastAsia="等线" w:hint="eastAsia"/>
                <w:b/>
                <w:bCs/>
                <w:color w:val="000000"/>
              </w:rPr>
              <w:t xml:space="preserve"> (</w:t>
            </w:r>
            <w:r w:rsidRPr="00327905">
              <w:rPr>
                <w:rFonts w:eastAsia="等线"/>
                <w:b/>
                <w:bCs/>
                <w:i/>
                <w:iCs/>
                <w:color w:val="000000"/>
              </w:rPr>
              <w:t>n</w:t>
            </w:r>
            <w:r w:rsidRPr="00327905">
              <w:rPr>
                <w:rFonts w:eastAsia="等线"/>
                <w:b/>
                <w:bCs/>
                <w:color w:val="000000"/>
              </w:rPr>
              <w:t>=427</w:t>
            </w:r>
            <w:r>
              <w:rPr>
                <w:rFonts w:eastAsia="等线" w:hint="eastAsia"/>
                <w:b/>
                <w:bCs/>
                <w:color w:val="000000"/>
              </w:rPr>
              <w:t>)</w:t>
            </w:r>
          </w:p>
        </w:tc>
      </w:tr>
      <w:tr w:rsidR="00327905" w:rsidRPr="00327905" w:rsidTr="00327905">
        <w:trPr>
          <w:trHeight w:val="6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b/>
                <w:color w:val="000000"/>
              </w:rPr>
            </w:pPr>
            <w:r w:rsidRPr="00327905">
              <w:rPr>
                <w:rFonts w:eastAsia="等线"/>
                <w:b/>
                <w:color w:val="000000"/>
              </w:rPr>
              <w:t>Clinical and laboratory parameters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ind w:firstLineChars="100" w:firstLine="240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Age in years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41.1±12.0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ind w:firstLineChars="100" w:firstLine="240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 xml:space="preserve">Male sex, </w:t>
            </w:r>
            <w:r w:rsidRPr="00327905">
              <w:rPr>
                <w:rFonts w:eastAsia="等线"/>
                <w:i/>
                <w:iCs/>
                <w:color w:val="000000"/>
              </w:rPr>
              <w:t>n</w:t>
            </w:r>
            <w:r w:rsidRPr="00327905">
              <w:rPr>
                <w:rFonts w:eastAsia="等线"/>
                <w:color w:val="000000"/>
              </w:rPr>
              <w:t xml:space="preserve"> (%)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315 (73.8%)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noWrap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ind w:firstLineChars="100" w:firstLine="240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 xml:space="preserve">Diabetes, </w:t>
            </w:r>
            <w:r w:rsidRPr="00327905">
              <w:rPr>
                <w:rFonts w:eastAsia="等线"/>
                <w:i/>
                <w:iCs/>
                <w:color w:val="000000"/>
              </w:rPr>
              <w:t>n</w:t>
            </w:r>
            <w:r w:rsidRPr="00327905">
              <w:rPr>
                <w:rFonts w:eastAsia="等线"/>
                <w:color w:val="000000"/>
              </w:rPr>
              <w:t xml:space="preserve"> (%)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137 (32.1%)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noWrap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ind w:firstLineChars="100" w:firstLine="240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 xml:space="preserve">Hypertension, </w:t>
            </w:r>
            <w:r w:rsidRPr="00327905">
              <w:rPr>
                <w:rFonts w:eastAsia="等线"/>
                <w:i/>
                <w:iCs/>
                <w:color w:val="000000"/>
              </w:rPr>
              <w:t>n</w:t>
            </w:r>
            <w:r w:rsidRPr="00327905">
              <w:rPr>
                <w:rFonts w:eastAsia="等线"/>
                <w:color w:val="000000"/>
              </w:rPr>
              <w:t xml:space="preserve"> (%)</w:t>
            </w:r>
            <w:bookmarkStart w:id="0" w:name="_GoBack"/>
            <w:bookmarkEnd w:id="0"/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157 (36.8%)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ind w:firstLineChars="100" w:firstLine="240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Waist circumference in cm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91.4±8.7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ind w:firstLineChars="100" w:firstLine="240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BMI in kg/m</w:t>
            </w:r>
            <w:r w:rsidRPr="00327905">
              <w:rPr>
                <w:rFonts w:eastAsia="等线"/>
                <w:color w:val="FF0000"/>
                <w:vertAlign w:val="superscript"/>
              </w:rPr>
              <w:t>2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26.7±3.3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ind w:firstLineChars="100" w:firstLine="240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HOMA-IR score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5.5±8.1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ind w:firstLineChars="100" w:firstLine="240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Platelet count as 10</w:t>
            </w:r>
            <w:r w:rsidRPr="00327905">
              <w:rPr>
                <w:rFonts w:eastAsia="等线"/>
                <w:color w:val="FF0000"/>
                <w:vertAlign w:val="superscript"/>
              </w:rPr>
              <w:t>9</w:t>
            </w:r>
            <w:r w:rsidRPr="00327905">
              <w:rPr>
                <w:rFonts w:eastAsia="等线"/>
                <w:color w:val="000000"/>
              </w:rPr>
              <w:t>/L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245.5±61.9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ind w:firstLineChars="100" w:firstLine="240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Hemoglobin A1c, %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6.1±1.4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ind w:firstLineChars="100" w:firstLine="240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 xml:space="preserve">Fasting glucose in </w:t>
            </w:r>
            <w:proofErr w:type="spellStart"/>
            <w:r w:rsidRPr="00327905">
              <w:rPr>
                <w:rFonts w:eastAsia="等线"/>
                <w:color w:val="000000"/>
              </w:rPr>
              <w:t>mmol</w:t>
            </w:r>
            <w:proofErr w:type="spellEnd"/>
            <w:r w:rsidRPr="00327905">
              <w:rPr>
                <w:rFonts w:eastAsia="等线"/>
                <w:color w:val="000000"/>
              </w:rPr>
              <w:t>/L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5.7±1.5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noWrap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ind w:firstLineChars="100" w:firstLine="240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 xml:space="preserve">Total cholesterol in </w:t>
            </w:r>
            <w:proofErr w:type="spellStart"/>
            <w:r w:rsidRPr="00327905">
              <w:rPr>
                <w:rFonts w:eastAsia="等线"/>
                <w:color w:val="000000"/>
              </w:rPr>
              <w:t>mmol</w:t>
            </w:r>
            <w:proofErr w:type="spellEnd"/>
            <w:r w:rsidRPr="00327905">
              <w:rPr>
                <w:rFonts w:eastAsia="等线"/>
                <w:color w:val="000000"/>
              </w:rPr>
              <w:t>/L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5.1±1.2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noWrap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ind w:firstLineChars="100" w:firstLine="240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 xml:space="preserve">Triglycerides in </w:t>
            </w:r>
            <w:proofErr w:type="spellStart"/>
            <w:r w:rsidRPr="00327905">
              <w:rPr>
                <w:rFonts w:eastAsia="等线"/>
                <w:color w:val="000000"/>
              </w:rPr>
              <w:t>mmol</w:t>
            </w:r>
            <w:proofErr w:type="spellEnd"/>
            <w:r w:rsidRPr="00327905">
              <w:rPr>
                <w:rFonts w:eastAsia="等线"/>
                <w:color w:val="000000"/>
              </w:rPr>
              <w:t>/L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2.3±1.5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noWrap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ind w:firstLineChars="100" w:firstLine="240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 xml:space="preserve">HDL-cholesterol in </w:t>
            </w:r>
            <w:proofErr w:type="spellStart"/>
            <w:r w:rsidRPr="00327905">
              <w:rPr>
                <w:rFonts w:eastAsia="等线"/>
                <w:color w:val="000000"/>
              </w:rPr>
              <w:t>mmol</w:t>
            </w:r>
            <w:proofErr w:type="spellEnd"/>
            <w:r w:rsidRPr="00327905">
              <w:rPr>
                <w:rFonts w:eastAsia="等线"/>
                <w:color w:val="000000"/>
              </w:rPr>
              <w:t>/L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1.0±0.2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noWrap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ind w:firstLineChars="100" w:firstLine="240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 xml:space="preserve">LDL-cholesterol in </w:t>
            </w:r>
            <w:proofErr w:type="spellStart"/>
            <w:r w:rsidRPr="00327905">
              <w:rPr>
                <w:rFonts w:eastAsia="等线"/>
                <w:color w:val="000000"/>
              </w:rPr>
              <w:t>mmol</w:t>
            </w:r>
            <w:proofErr w:type="spellEnd"/>
            <w:r w:rsidRPr="00327905">
              <w:rPr>
                <w:rFonts w:eastAsia="等线"/>
                <w:color w:val="000000"/>
              </w:rPr>
              <w:t>/L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3.1±0.9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ind w:firstLineChars="100" w:firstLine="240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Albumin in g/L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46.3±3.8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ind w:firstLineChars="100" w:firstLine="240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ALT in U/L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76.3±73.4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ind w:firstLineChars="100" w:firstLine="240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AST in U/L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47.4±35.1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noWrap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ind w:firstLineChars="100" w:firstLine="240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GGT in U/L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73.3±95.7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ind w:firstLineChars="100" w:firstLine="240"/>
              <w:jc w:val="both"/>
              <w:rPr>
                <w:rFonts w:eastAsia="等线"/>
                <w:color w:val="000000"/>
              </w:rPr>
            </w:pPr>
            <w:proofErr w:type="spellStart"/>
            <w:r w:rsidRPr="00327905">
              <w:rPr>
                <w:rFonts w:eastAsia="等线"/>
                <w:color w:val="000000"/>
              </w:rPr>
              <w:t>Creatinine</w:t>
            </w:r>
            <w:proofErr w:type="spellEnd"/>
            <w:r w:rsidRPr="00327905">
              <w:rPr>
                <w:rFonts w:eastAsia="等线"/>
                <w:color w:val="000000"/>
              </w:rPr>
              <w:t xml:space="preserve"> in </w:t>
            </w:r>
            <w:proofErr w:type="spellStart"/>
            <w:r w:rsidRPr="00327905">
              <w:rPr>
                <w:rFonts w:eastAsia="等线"/>
                <w:color w:val="000000"/>
              </w:rPr>
              <w:t>μmol</w:t>
            </w:r>
            <w:proofErr w:type="spellEnd"/>
            <w:r w:rsidRPr="00327905">
              <w:rPr>
                <w:rFonts w:eastAsia="等线"/>
                <w:color w:val="000000"/>
              </w:rPr>
              <w:t>/L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67.0±14.1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noWrap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ind w:firstLineChars="100" w:firstLine="240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 xml:space="preserve">Uric acid in </w:t>
            </w:r>
            <w:proofErr w:type="spellStart"/>
            <w:r w:rsidRPr="00327905">
              <w:rPr>
                <w:rFonts w:eastAsia="等线"/>
                <w:color w:val="000000"/>
              </w:rPr>
              <w:t>μmol</w:t>
            </w:r>
            <w:proofErr w:type="spellEnd"/>
            <w:r w:rsidRPr="00327905">
              <w:rPr>
                <w:rFonts w:eastAsia="等线"/>
                <w:color w:val="000000"/>
              </w:rPr>
              <w:t>/L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392.0±107.1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noWrap/>
            <w:vAlign w:val="center"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b/>
                <w:color w:val="000000"/>
              </w:rPr>
            </w:pPr>
            <w:r w:rsidRPr="00327905">
              <w:rPr>
                <w:rFonts w:eastAsia="等线"/>
                <w:b/>
                <w:color w:val="000000"/>
              </w:rPr>
              <w:t>Liver histology scores</w:t>
            </w:r>
          </w:p>
        </w:tc>
        <w:tc>
          <w:tcPr>
            <w:tcW w:w="3023" w:type="pct"/>
            <w:shd w:val="clear" w:color="auto" w:fill="auto"/>
            <w:vAlign w:val="center"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noWrap/>
            <w:vAlign w:val="center"/>
          </w:tcPr>
          <w:p w:rsidR="00327905" w:rsidRPr="00327905" w:rsidRDefault="00327905" w:rsidP="00327905">
            <w:pPr>
              <w:snapToGrid w:val="0"/>
              <w:spacing w:line="360" w:lineRule="auto"/>
              <w:ind w:firstLineChars="100" w:firstLine="240"/>
              <w:jc w:val="both"/>
              <w:rPr>
                <w:rFonts w:eastAsia="等线"/>
                <w:color w:val="000000"/>
              </w:rPr>
            </w:pPr>
            <w:proofErr w:type="spellStart"/>
            <w:r w:rsidRPr="00327905">
              <w:rPr>
                <w:rFonts w:eastAsia="等线"/>
                <w:color w:val="000000"/>
              </w:rPr>
              <w:t>Steatosis</w:t>
            </w:r>
            <w:proofErr w:type="spellEnd"/>
            <w:r w:rsidRPr="00327905">
              <w:rPr>
                <w:rFonts w:eastAsia="等线"/>
                <w:color w:val="000000"/>
              </w:rPr>
              <w:t xml:space="preserve"> scores</w:t>
            </w:r>
          </w:p>
        </w:tc>
        <w:tc>
          <w:tcPr>
            <w:tcW w:w="3023" w:type="pct"/>
            <w:shd w:val="clear" w:color="auto" w:fill="auto"/>
            <w:vAlign w:val="center"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 xml:space="preserve">1.7±1.1 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noWrap/>
            <w:vAlign w:val="center"/>
          </w:tcPr>
          <w:p w:rsidR="00327905" w:rsidRPr="00327905" w:rsidRDefault="00327905" w:rsidP="00327905">
            <w:pPr>
              <w:snapToGrid w:val="0"/>
              <w:spacing w:line="360" w:lineRule="auto"/>
              <w:ind w:firstLineChars="100" w:firstLine="240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Hepatocyte ballooning scores</w:t>
            </w:r>
          </w:p>
        </w:tc>
        <w:tc>
          <w:tcPr>
            <w:tcW w:w="3023" w:type="pct"/>
            <w:shd w:val="clear" w:color="auto" w:fill="auto"/>
            <w:vAlign w:val="center"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 xml:space="preserve">1.3±0.6 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noWrap/>
            <w:vAlign w:val="center"/>
          </w:tcPr>
          <w:p w:rsidR="00327905" w:rsidRPr="00327905" w:rsidRDefault="00327905" w:rsidP="00327905">
            <w:pPr>
              <w:snapToGrid w:val="0"/>
              <w:spacing w:line="360" w:lineRule="auto"/>
              <w:ind w:firstLineChars="100" w:firstLine="240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Lobular inflammation scores</w:t>
            </w:r>
          </w:p>
        </w:tc>
        <w:tc>
          <w:tcPr>
            <w:tcW w:w="3023" w:type="pct"/>
            <w:shd w:val="clear" w:color="auto" w:fill="auto"/>
            <w:vAlign w:val="center"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 xml:space="preserve">1.2±0.5 </w:t>
            </w:r>
          </w:p>
        </w:tc>
      </w:tr>
      <w:tr w:rsidR="00327905" w:rsidRPr="00327905" w:rsidTr="00327905">
        <w:trPr>
          <w:trHeight w:val="360"/>
        </w:trPr>
        <w:tc>
          <w:tcPr>
            <w:tcW w:w="1977" w:type="pct"/>
            <w:shd w:val="clear" w:color="auto" w:fill="auto"/>
            <w:noWrap/>
            <w:vAlign w:val="center"/>
          </w:tcPr>
          <w:p w:rsidR="00327905" w:rsidRPr="00327905" w:rsidRDefault="00327905" w:rsidP="00327905">
            <w:pPr>
              <w:snapToGrid w:val="0"/>
              <w:spacing w:line="360" w:lineRule="auto"/>
              <w:ind w:firstLineChars="100" w:firstLine="240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Fibrosis scores</w:t>
            </w:r>
          </w:p>
        </w:tc>
        <w:tc>
          <w:tcPr>
            <w:tcW w:w="3023" w:type="pct"/>
            <w:shd w:val="clear" w:color="auto" w:fill="auto"/>
            <w:vAlign w:val="center"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1.0±0.9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noWrap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b/>
                <w:color w:val="000000"/>
              </w:rPr>
            </w:pPr>
            <w:r w:rsidRPr="00327905">
              <w:rPr>
                <w:rFonts w:eastAsia="等线"/>
                <w:b/>
                <w:color w:val="000000"/>
              </w:rPr>
              <w:t>Liver histology features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proofErr w:type="spellStart"/>
            <w:r w:rsidRPr="00327905">
              <w:rPr>
                <w:rFonts w:eastAsia="等线"/>
                <w:color w:val="000000"/>
              </w:rPr>
              <w:t>Steatosis</w:t>
            </w:r>
            <w:proofErr w:type="spellEnd"/>
            <w:r w:rsidRPr="00327905">
              <w:rPr>
                <w:rFonts w:eastAsia="等线"/>
                <w:color w:val="000000"/>
              </w:rPr>
              <w:t xml:space="preserve">, </w:t>
            </w:r>
            <w:r w:rsidRPr="00327905">
              <w:rPr>
                <w:rFonts w:eastAsia="等线"/>
                <w:i/>
                <w:iCs/>
                <w:color w:val="000000"/>
              </w:rPr>
              <w:t>n</w:t>
            </w:r>
            <w:r w:rsidRPr="00327905">
              <w:rPr>
                <w:rFonts w:eastAsia="等线"/>
                <w:color w:val="000000"/>
              </w:rPr>
              <w:t xml:space="preserve"> (%)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ind w:firstLineChars="100" w:firstLine="240"/>
              <w:jc w:val="both"/>
              <w:rPr>
                <w:rFonts w:eastAsia="等线"/>
                <w:color w:val="000000"/>
              </w:rPr>
            </w:pP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lastRenderedPageBreak/>
              <w:t xml:space="preserve">  Mild </w:t>
            </w:r>
            <w:proofErr w:type="spellStart"/>
            <w:r w:rsidRPr="00327905">
              <w:rPr>
                <w:rFonts w:eastAsia="等线"/>
                <w:color w:val="000000"/>
              </w:rPr>
              <w:t>steatosis</w:t>
            </w:r>
            <w:proofErr w:type="spellEnd"/>
            <w:r w:rsidRPr="00327905">
              <w:rPr>
                <w:rFonts w:eastAsia="等线"/>
                <w:color w:val="000000"/>
              </w:rPr>
              <w:t>: &lt;2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201 (47.1%)</w:t>
            </w:r>
          </w:p>
        </w:tc>
      </w:tr>
      <w:tr w:rsidR="00327905" w:rsidRPr="00327905" w:rsidTr="00327905">
        <w:trPr>
          <w:trHeight w:val="161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 xml:space="preserve">  Severe </w:t>
            </w:r>
            <w:proofErr w:type="spellStart"/>
            <w:r w:rsidRPr="00327905">
              <w:rPr>
                <w:rFonts w:eastAsia="等线"/>
                <w:color w:val="000000"/>
              </w:rPr>
              <w:t>steatosis</w:t>
            </w:r>
            <w:proofErr w:type="spellEnd"/>
            <w:r w:rsidRPr="00327905">
              <w:rPr>
                <w:rFonts w:eastAsia="等线"/>
                <w:color w:val="000000"/>
              </w:rPr>
              <w:t>: ≥2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226 (52.9%)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noWrap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 xml:space="preserve">Hepatocyte ballooning, </w:t>
            </w:r>
            <w:r w:rsidRPr="00327905">
              <w:rPr>
                <w:rFonts w:eastAsia="等线"/>
                <w:i/>
                <w:iCs/>
                <w:color w:val="000000"/>
              </w:rPr>
              <w:t>n</w:t>
            </w:r>
            <w:r w:rsidRPr="00327905">
              <w:rPr>
                <w:rFonts w:eastAsia="等线"/>
                <w:color w:val="000000"/>
              </w:rPr>
              <w:t xml:space="preserve"> (%)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ind w:firstLineChars="100" w:firstLine="240"/>
              <w:jc w:val="both"/>
              <w:rPr>
                <w:rFonts w:eastAsia="等线"/>
                <w:color w:val="000000"/>
              </w:rPr>
            </w:pP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 xml:space="preserve">  Mild ballooning: &lt;2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270 (63.2%)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 xml:space="preserve">  Severe ballooning: =2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157 (36.8%)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 xml:space="preserve">Lobular inflammation, </w:t>
            </w:r>
            <w:r w:rsidRPr="00327905">
              <w:rPr>
                <w:rFonts w:eastAsia="等线"/>
                <w:i/>
                <w:iCs/>
                <w:color w:val="000000"/>
              </w:rPr>
              <w:t>n</w:t>
            </w:r>
            <w:r w:rsidRPr="00327905">
              <w:rPr>
                <w:rFonts w:eastAsia="等线"/>
                <w:color w:val="000000"/>
              </w:rPr>
              <w:t xml:space="preserve"> (%)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ind w:firstLineChars="100" w:firstLine="240"/>
              <w:jc w:val="both"/>
              <w:rPr>
                <w:rFonts w:eastAsia="等线"/>
                <w:color w:val="000000"/>
              </w:rPr>
            </w:pP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 xml:space="preserve">  Mild inflammation: &lt;2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343 (80.3%)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 xml:space="preserve">  Severe inflammation: ≥2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84 (19.7%)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 xml:space="preserve">Presence of fibrosis, </w:t>
            </w:r>
            <w:r w:rsidRPr="00327905">
              <w:rPr>
                <w:rFonts w:eastAsia="等线"/>
                <w:i/>
                <w:iCs/>
                <w:color w:val="000000"/>
              </w:rPr>
              <w:t>n</w:t>
            </w:r>
            <w:r w:rsidRPr="00327905">
              <w:rPr>
                <w:rFonts w:eastAsia="等线"/>
                <w:color w:val="000000"/>
              </w:rPr>
              <w:t xml:space="preserve"> (%)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287 (67.2%)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proofErr w:type="spellStart"/>
            <w:r w:rsidRPr="00327905">
              <w:rPr>
                <w:rFonts w:eastAsia="等线"/>
                <w:color w:val="000000"/>
              </w:rPr>
              <w:t>Steatohepatitis</w:t>
            </w:r>
            <w:proofErr w:type="spellEnd"/>
            <w:r w:rsidRPr="00327905">
              <w:rPr>
                <w:rFonts w:eastAsia="等线"/>
                <w:color w:val="000000"/>
              </w:rPr>
              <w:t xml:space="preserve">, </w:t>
            </w:r>
            <w:r w:rsidRPr="00327905">
              <w:rPr>
                <w:rFonts w:eastAsia="等线"/>
                <w:i/>
                <w:iCs/>
                <w:color w:val="000000"/>
              </w:rPr>
              <w:t>n</w:t>
            </w:r>
            <w:r w:rsidRPr="00327905">
              <w:rPr>
                <w:rFonts w:eastAsia="等线"/>
                <w:color w:val="000000"/>
              </w:rPr>
              <w:t xml:space="preserve"> (%)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250 (58.5%)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b/>
                <w:color w:val="000000"/>
              </w:rPr>
            </w:pPr>
            <w:r w:rsidRPr="00327905">
              <w:rPr>
                <w:rFonts w:eastAsia="等线"/>
                <w:b/>
                <w:color w:val="000000"/>
              </w:rPr>
              <w:t>SNPs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b/>
                <w:bCs/>
                <w:i/>
                <w:iCs/>
                <w:color w:val="000000"/>
              </w:rPr>
            </w:pP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i/>
                <w:iCs/>
                <w:color w:val="000000"/>
              </w:rPr>
              <w:t xml:space="preserve">HSD17B13 </w:t>
            </w:r>
            <w:r w:rsidRPr="00327905">
              <w:rPr>
                <w:rFonts w:eastAsia="等线"/>
                <w:color w:val="000000"/>
              </w:rPr>
              <w:t>rs72613567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ind w:firstLineChars="100" w:firstLine="240"/>
              <w:jc w:val="both"/>
              <w:rPr>
                <w:rFonts w:eastAsia="等线"/>
                <w:color w:val="000000"/>
              </w:rPr>
            </w:pP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 xml:space="preserve">  T/T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198 (47.3%)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 xml:space="preserve">  T/TA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176 (42.0%)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 xml:space="preserve">  TA/TA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45 (10.7%)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i/>
                <w:iCs/>
                <w:color w:val="000000"/>
              </w:rPr>
              <w:t xml:space="preserve">HSD17B13 </w:t>
            </w:r>
            <w:r w:rsidRPr="00327905">
              <w:rPr>
                <w:rFonts w:eastAsia="等线"/>
                <w:color w:val="000000"/>
              </w:rPr>
              <w:t>rs6531975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ind w:firstLineChars="100" w:firstLine="240"/>
              <w:jc w:val="both"/>
              <w:rPr>
                <w:rFonts w:eastAsia="等线"/>
                <w:color w:val="000000"/>
              </w:rPr>
            </w:pPr>
          </w:p>
        </w:tc>
      </w:tr>
      <w:tr w:rsidR="00327905" w:rsidRPr="00327905" w:rsidTr="00327905">
        <w:trPr>
          <w:trHeight w:val="360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 xml:space="preserve">  G/G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209 (49.8%)</w:t>
            </w:r>
          </w:p>
        </w:tc>
      </w:tr>
      <w:tr w:rsidR="00327905" w:rsidRPr="00327905" w:rsidTr="00327905">
        <w:trPr>
          <w:trHeight w:val="360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 xml:space="preserve">  G/A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170 (40.5%)</w:t>
            </w:r>
          </w:p>
        </w:tc>
      </w:tr>
      <w:tr w:rsidR="00327905" w:rsidRPr="00327905" w:rsidTr="00327905">
        <w:trPr>
          <w:trHeight w:val="360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 xml:space="preserve">  A/A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41 (9.8%)</w:t>
            </w:r>
          </w:p>
        </w:tc>
      </w:tr>
      <w:tr w:rsidR="00327905" w:rsidRPr="00327905" w:rsidTr="00327905">
        <w:trPr>
          <w:trHeight w:val="60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i/>
                <w:iCs/>
                <w:color w:val="000000"/>
              </w:rPr>
              <w:t>PNPLA3</w:t>
            </w:r>
            <w:r w:rsidRPr="00327905">
              <w:rPr>
                <w:rFonts w:eastAsia="等线"/>
                <w:color w:val="000000"/>
              </w:rPr>
              <w:t xml:space="preserve"> rs738409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ind w:firstLineChars="100" w:firstLine="240"/>
              <w:jc w:val="both"/>
              <w:rPr>
                <w:rFonts w:eastAsia="等线"/>
                <w:color w:val="000000"/>
              </w:rPr>
            </w:pPr>
          </w:p>
        </w:tc>
      </w:tr>
      <w:tr w:rsidR="00327905" w:rsidRPr="00327905" w:rsidTr="00327905">
        <w:trPr>
          <w:trHeight w:val="360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 xml:space="preserve">  C/C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125 (29.8%)</w:t>
            </w:r>
          </w:p>
        </w:tc>
      </w:tr>
      <w:tr w:rsidR="00327905" w:rsidRPr="00327905" w:rsidTr="00327905">
        <w:trPr>
          <w:trHeight w:val="360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 xml:space="preserve">  C/G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197 (47.0%)</w:t>
            </w:r>
          </w:p>
        </w:tc>
      </w:tr>
      <w:tr w:rsidR="00327905" w:rsidRPr="00327905" w:rsidTr="00327905">
        <w:trPr>
          <w:trHeight w:val="73"/>
        </w:trPr>
        <w:tc>
          <w:tcPr>
            <w:tcW w:w="1977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 xml:space="preserve">  G/G</w:t>
            </w:r>
          </w:p>
        </w:tc>
        <w:tc>
          <w:tcPr>
            <w:tcW w:w="3023" w:type="pct"/>
            <w:shd w:val="clear" w:color="auto" w:fill="auto"/>
            <w:vAlign w:val="center"/>
            <w:hideMark/>
          </w:tcPr>
          <w:p w:rsidR="00327905" w:rsidRPr="00327905" w:rsidRDefault="00327905" w:rsidP="00327905">
            <w:pPr>
              <w:snapToGrid w:val="0"/>
              <w:spacing w:line="360" w:lineRule="auto"/>
              <w:jc w:val="both"/>
              <w:rPr>
                <w:rFonts w:eastAsia="等线"/>
                <w:color w:val="000000"/>
              </w:rPr>
            </w:pPr>
            <w:r w:rsidRPr="00327905">
              <w:rPr>
                <w:rFonts w:eastAsia="等线"/>
                <w:color w:val="000000"/>
              </w:rPr>
              <w:t>97 (23.2%)</w:t>
            </w:r>
          </w:p>
        </w:tc>
      </w:tr>
    </w:tbl>
    <w:p w:rsidR="00327905" w:rsidRPr="00327905" w:rsidRDefault="00327905" w:rsidP="00327905">
      <w:pPr>
        <w:spacing w:line="360" w:lineRule="auto"/>
      </w:pPr>
      <w:r w:rsidRPr="00327905">
        <w:rPr>
          <w:rFonts w:eastAsia="等线"/>
          <w:color w:val="000000"/>
        </w:rPr>
        <w:t xml:space="preserve">Categorical values are shown as </w:t>
      </w:r>
      <w:r w:rsidRPr="00327905">
        <w:rPr>
          <w:rFonts w:eastAsia="等线"/>
          <w:i/>
          <w:iCs/>
          <w:color w:val="000000"/>
        </w:rPr>
        <w:t>n</w:t>
      </w:r>
      <w:r w:rsidRPr="00327905">
        <w:rPr>
          <w:rFonts w:eastAsia="等线"/>
          <w:color w:val="000000"/>
        </w:rPr>
        <w:t xml:space="preserve"> (%). Continuous variables are shown as mean</w:t>
      </w:r>
      <w:r>
        <w:rPr>
          <w:rFonts w:eastAsia="等线" w:hint="eastAsia"/>
          <w:color w:val="000000"/>
        </w:rPr>
        <w:t xml:space="preserve"> </w:t>
      </w:r>
      <w:r w:rsidRPr="00327905">
        <w:rPr>
          <w:rFonts w:eastAsia="等线"/>
          <w:color w:val="000000"/>
        </w:rPr>
        <w:t>±</w:t>
      </w:r>
      <w:r>
        <w:rPr>
          <w:rFonts w:eastAsia="等线" w:hint="eastAsia"/>
          <w:color w:val="000000"/>
        </w:rPr>
        <w:t xml:space="preserve"> </w:t>
      </w:r>
      <w:r w:rsidRPr="00327905">
        <w:rPr>
          <w:rFonts w:eastAsia="等线"/>
          <w:color w:val="000000"/>
        </w:rPr>
        <w:t>standard deviation.</w:t>
      </w:r>
    </w:p>
    <w:sectPr w:rsidR="00327905" w:rsidRPr="00327905" w:rsidSect="00327905">
      <w:pgSz w:w="11906" w:h="16838"/>
      <w:pgMar w:top="1440" w:right="1800" w:bottom="2127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CB"/>
    <w:rsid w:val="00327905"/>
    <w:rsid w:val="00664B26"/>
    <w:rsid w:val="007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CB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CB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2021-02-16T11:48:00Z</dcterms:created>
  <dcterms:modified xsi:type="dcterms:W3CDTF">2021-02-16T11:53:00Z</dcterms:modified>
</cp:coreProperties>
</file>