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2A" w:rsidRPr="005A4F7F" w:rsidRDefault="003C562A" w:rsidP="003C562A">
      <w:pPr>
        <w:rPr>
          <w:rFonts w:ascii="Aptos" w:hAnsi="Aptos"/>
          <w:sz w:val="28"/>
          <w:szCs w:val="28"/>
        </w:rPr>
      </w:pPr>
    </w:p>
    <w:p w:rsidR="003C562A" w:rsidRPr="005A4F7F" w:rsidRDefault="00D71583" w:rsidP="003C562A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Supplementary Fig 1</w:t>
      </w:r>
      <w:r w:rsidR="003C562A" w:rsidRPr="005A4F7F">
        <w:rPr>
          <w:rFonts w:ascii="Aptos" w:hAnsi="Aptos"/>
          <w:sz w:val="28"/>
          <w:szCs w:val="28"/>
        </w:rPr>
        <w:t>: Surface Staining Gating strategy.</w:t>
      </w:r>
    </w:p>
    <w:p w:rsidR="003C562A" w:rsidRPr="005A4F7F" w:rsidRDefault="003C562A" w:rsidP="003C562A">
      <w:pPr>
        <w:rPr>
          <w:rFonts w:ascii="Aptos" w:hAnsi="Aptos"/>
          <w:sz w:val="28"/>
          <w:szCs w:val="28"/>
        </w:rPr>
      </w:pPr>
      <w:r w:rsidRPr="005A4F7F">
        <w:rPr>
          <w:rFonts w:ascii="Aptos" w:hAnsi="Aptos"/>
          <w:sz w:val="28"/>
          <w:szCs w:val="28"/>
        </w:rPr>
        <w:t xml:space="preserve">Isolated PBMCs were gated for single cells (FSC-A/FSC-H), Alive cells (Fixable Viability Dye eFluor 506), CD14 positive cells. Fluorescence minus one (FMO) samples were generated to gate for HLA (Human Leukocyte Antigen)-DR, </w:t>
      </w:r>
      <w:r w:rsidRPr="005A4F7F">
        <w:rPr>
          <w:rFonts w:ascii="Aptos" w:hAnsi="Aptos" w:cs="Arial"/>
          <w:color w:val="212121"/>
          <w:sz w:val="28"/>
          <w:szCs w:val="28"/>
          <w:shd w:val="clear" w:color="auto" w:fill="FFFFFF"/>
        </w:rPr>
        <w:t>CD (Cluster of differentiation)206</w:t>
      </w:r>
      <w:r w:rsidRPr="005A4F7F">
        <w:rPr>
          <w:rFonts w:ascii="Aptos" w:hAnsi="Aptos"/>
          <w:sz w:val="28"/>
          <w:szCs w:val="28"/>
        </w:rPr>
        <w:t xml:space="preserve">, CD163,  </w:t>
      </w:r>
      <w:r w:rsidRPr="005A4F7F">
        <w:rPr>
          <w:rFonts w:ascii="Aptos" w:hAnsi="Aptos" w:cs="Arial"/>
          <w:color w:val="212121"/>
          <w:sz w:val="28"/>
          <w:szCs w:val="28"/>
          <w:shd w:val="clear" w:color="auto" w:fill="FFFFFF"/>
        </w:rPr>
        <w:t>Mer Tyrosine Kinase</w:t>
      </w:r>
      <w:r w:rsidRPr="005A4F7F">
        <w:rPr>
          <w:rFonts w:ascii="Aptos" w:hAnsi="Aptos"/>
          <w:sz w:val="28"/>
          <w:szCs w:val="28"/>
        </w:rPr>
        <w:t xml:space="preserve"> (MerTK). </w:t>
      </w:r>
    </w:p>
    <w:p w:rsidR="003C562A" w:rsidRPr="005A4F7F" w:rsidRDefault="003C562A" w:rsidP="003C562A">
      <w:pPr>
        <w:rPr>
          <w:rFonts w:ascii="Aptos" w:hAnsi="Aptos"/>
          <w:sz w:val="28"/>
          <w:szCs w:val="28"/>
        </w:rPr>
      </w:pPr>
      <w:r>
        <w:rPr>
          <w:rFonts w:ascii="Aptos" w:hAnsi="Aptos"/>
          <w:noProof/>
          <w:sz w:val="28"/>
          <w:szCs w:val="28"/>
        </w:rPr>
        <w:drawing>
          <wp:inline distT="0" distB="0" distL="0" distR="0">
            <wp:extent cx="5731510" cy="3223895"/>
            <wp:effectExtent l="0" t="0" r="2540" b="0"/>
            <wp:docPr id="3" name="Picture 3" descr="A diagram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00511" name="Picture 3" descr="A diagram of a graph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89F" w:rsidRDefault="007D689F"/>
    <w:sectPr w:rsidR="007D689F" w:rsidSect="00870F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3C562A"/>
    <w:rsid w:val="003C562A"/>
    <w:rsid w:val="007D689F"/>
    <w:rsid w:val="00870FD4"/>
    <w:rsid w:val="00D7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2025-06-19T12:08:00Z</dcterms:created>
  <dcterms:modified xsi:type="dcterms:W3CDTF">2025-06-26T06:50:00Z</dcterms:modified>
</cp:coreProperties>
</file>