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D" w:rsidRPr="00D73558" w:rsidRDefault="00461A4D" w:rsidP="00461A4D">
      <w:pPr>
        <w:pStyle w:val="1"/>
        <w:snapToGrid w:val="0"/>
        <w:spacing w:before="0" w:after="0" w:line="480" w:lineRule="auto"/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D735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558">
        <w:rPr>
          <w:rFonts w:ascii="Times New Roman" w:hAnsi="Times New Roman" w:cs="Times New Roman"/>
          <w:sz w:val="24"/>
          <w:szCs w:val="24"/>
        </w:rPr>
        <w:t xml:space="preserve"> MOOSE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3558">
        <w:rPr>
          <w:rFonts w:ascii="Times New Roman" w:hAnsi="Times New Roman" w:cs="Times New Roman"/>
          <w:sz w:val="24"/>
          <w:szCs w:val="24"/>
        </w:rPr>
        <w:t>hecklist</w:t>
      </w:r>
    </w:p>
    <w:tbl>
      <w:tblPr>
        <w:tblStyle w:val="TableNormal1"/>
        <w:tblW w:w="13773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52"/>
        <w:gridCol w:w="10053"/>
      </w:tblGrid>
      <w:tr w:rsidR="00461A4D" w:rsidRPr="00D73558" w:rsidTr="00461A4D">
        <w:trPr>
          <w:trHeight w:val="551"/>
        </w:trPr>
        <w:tc>
          <w:tcPr>
            <w:tcW w:w="3720" w:type="dxa"/>
            <w:gridSpan w:val="2"/>
            <w:shd w:val="clear" w:color="auto" w:fill="D9D9D9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0053" w:type="dxa"/>
            <w:shd w:val="clear" w:color="auto" w:fill="D9D9D9"/>
          </w:tcPr>
          <w:p w:rsidR="00461A4D" w:rsidRPr="00D73558" w:rsidRDefault="00461A4D" w:rsidP="00461A4D">
            <w:pPr>
              <w:pStyle w:val="TableParagraph"/>
              <w:snapToGrid w:val="0"/>
              <w:ind w:left="108" w:right="314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Brief description of how the criteria were handled in the meta-analysis</w:t>
            </w:r>
          </w:p>
        </w:tc>
      </w:tr>
      <w:tr w:rsidR="00461A4D" w:rsidRPr="00D73558" w:rsidTr="00461A4D">
        <w:trPr>
          <w:trHeight w:val="153"/>
        </w:trPr>
        <w:tc>
          <w:tcPr>
            <w:tcW w:w="13773" w:type="dxa"/>
            <w:gridSpan w:val="3"/>
          </w:tcPr>
          <w:p w:rsidR="00461A4D" w:rsidRPr="00D73558" w:rsidRDefault="00461A4D" w:rsidP="00461A4D">
            <w:pPr>
              <w:pStyle w:val="TableParagraph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Reporting of background should include</w:t>
            </w:r>
          </w:p>
        </w:tc>
      </w:tr>
      <w:tr w:rsidR="00461A4D" w:rsidRPr="00D73558" w:rsidTr="00461A4D">
        <w:trPr>
          <w:trHeight w:val="727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Problem definition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13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In the treatment-naive CHB patients with normal ALT, there were still some patients with significant histological changes. </w:t>
            </w:r>
            <w:r>
              <w:rPr>
                <w:sz w:val="24"/>
                <w:szCs w:val="24"/>
              </w:rPr>
              <w:t>T</w:t>
            </w:r>
            <w:r w:rsidRPr="00D73558">
              <w:rPr>
                <w:sz w:val="24"/>
                <w:szCs w:val="24"/>
              </w:rPr>
              <w:t xml:space="preserve">he proportion of significant histological changes </w:t>
            </w:r>
            <w:r>
              <w:rPr>
                <w:sz w:val="24"/>
                <w:szCs w:val="24"/>
              </w:rPr>
              <w:t xml:space="preserve">remains </w:t>
            </w:r>
            <w:r w:rsidRPr="00D73558">
              <w:rPr>
                <w:sz w:val="24"/>
                <w:szCs w:val="24"/>
              </w:rPr>
              <w:t>controversial. We aim</w:t>
            </w:r>
            <w:r>
              <w:rPr>
                <w:sz w:val="24"/>
                <w:szCs w:val="24"/>
              </w:rPr>
              <w:t>ed</w:t>
            </w:r>
            <w:r w:rsidRPr="00D73558">
              <w:rPr>
                <w:sz w:val="24"/>
                <w:szCs w:val="24"/>
              </w:rPr>
              <w:t xml:space="preserve"> to analyze the proportion of significant inflammation or fibrosis and cirrhosis </w:t>
            </w:r>
            <w:r>
              <w:rPr>
                <w:sz w:val="24"/>
                <w:szCs w:val="24"/>
              </w:rPr>
              <w:t>among</w:t>
            </w:r>
            <w:r w:rsidRPr="00D73558">
              <w:rPr>
                <w:sz w:val="24"/>
                <w:szCs w:val="24"/>
              </w:rPr>
              <w:t xml:space="preserve"> these patients.</w:t>
            </w:r>
          </w:p>
        </w:tc>
      </w:tr>
      <w:tr w:rsidR="00461A4D" w:rsidRPr="00D73558" w:rsidTr="00461A4D">
        <w:trPr>
          <w:trHeight w:val="69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Hypothesis statement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1031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Significant histologic changes are not rare in the treatment-naive </w:t>
            </w:r>
            <w:r>
              <w:rPr>
                <w:sz w:val="24"/>
                <w:szCs w:val="24"/>
              </w:rPr>
              <w:t>CH</w:t>
            </w:r>
            <w:r w:rsidRPr="00D73558">
              <w:rPr>
                <w:sz w:val="24"/>
                <w:szCs w:val="24"/>
              </w:rPr>
              <w:t xml:space="preserve">B patients with persistent normal </w:t>
            </w:r>
            <w:r>
              <w:rPr>
                <w:sz w:val="24"/>
                <w:szCs w:val="24"/>
              </w:rPr>
              <w:t>ALT.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Description of study outcomes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73558">
              <w:rPr>
                <w:sz w:val="24"/>
                <w:szCs w:val="24"/>
              </w:rPr>
              <w:t>roportion of significant histological changes</w:t>
            </w:r>
          </w:p>
        </w:tc>
      </w:tr>
      <w:tr w:rsidR="00461A4D" w:rsidRPr="00D73558" w:rsidTr="00461A4D">
        <w:trPr>
          <w:trHeight w:val="552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118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Type of exposure or intervention used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73558">
              <w:rPr>
                <w:sz w:val="24"/>
                <w:szCs w:val="24"/>
              </w:rPr>
              <w:t xml:space="preserve">reatment-naive </w:t>
            </w:r>
            <w:r>
              <w:rPr>
                <w:sz w:val="24"/>
                <w:szCs w:val="24"/>
              </w:rPr>
              <w:t>CH</w:t>
            </w:r>
            <w:r w:rsidRPr="00D73558">
              <w:rPr>
                <w:sz w:val="24"/>
                <w:szCs w:val="24"/>
              </w:rPr>
              <w:t>B patients</w:t>
            </w:r>
          </w:p>
        </w:tc>
      </w:tr>
      <w:tr w:rsidR="00461A4D" w:rsidRPr="00D73558" w:rsidTr="00461A4D">
        <w:trPr>
          <w:trHeight w:val="69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Type of study designs used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73558">
              <w:rPr>
                <w:sz w:val="24"/>
                <w:szCs w:val="24"/>
              </w:rPr>
              <w:t xml:space="preserve">ase-control studies, prospective cohort studies, </w:t>
            </w:r>
            <w:r>
              <w:rPr>
                <w:sz w:val="24"/>
                <w:szCs w:val="24"/>
              </w:rPr>
              <w:t xml:space="preserve">and </w:t>
            </w:r>
            <w:r w:rsidRPr="00D73558">
              <w:rPr>
                <w:sz w:val="24"/>
                <w:szCs w:val="24"/>
              </w:rPr>
              <w:t>cross-sectional studies</w:t>
            </w:r>
            <w:r>
              <w:rPr>
                <w:sz w:val="24"/>
                <w:szCs w:val="24"/>
              </w:rPr>
              <w:t xml:space="preserve"> were included.</w:t>
            </w:r>
            <w:r w:rsidRPr="00D7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D73558">
              <w:rPr>
                <w:sz w:val="24"/>
                <w:szCs w:val="24"/>
              </w:rPr>
              <w:t>tudies of reverse association</w:t>
            </w:r>
            <w:r>
              <w:rPr>
                <w:sz w:val="24"/>
                <w:szCs w:val="24"/>
              </w:rPr>
              <w:t xml:space="preserve"> were excluded.</w:t>
            </w:r>
          </w:p>
        </w:tc>
      </w:tr>
      <w:tr w:rsidR="00461A4D" w:rsidRPr="00D73558" w:rsidTr="00461A4D">
        <w:trPr>
          <w:trHeight w:val="290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Study population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 w:rsidRPr="00D73558">
              <w:rPr>
                <w:sz w:val="24"/>
                <w:szCs w:val="24"/>
              </w:rPr>
              <w:t>restrict</w:t>
            </w:r>
            <w:r>
              <w:rPr>
                <w:sz w:val="24"/>
                <w:szCs w:val="24"/>
              </w:rPr>
              <w:t>ed</w:t>
            </w:r>
          </w:p>
        </w:tc>
      </w:tr>
      <w:tr w:rsidR="00461A4D" w:rsidRPr="00D73558" w:rsidTr="00461A4D">
        <w:trPr>
          <w:trHeight w:val="69"/>
        </w:trPr>
        <w:tc>
          <w:tcPr>
            <w:tcW w:w="13773" w:type="dxa"/>
            <w:gridSpan w:val="3"/>
          </w:tcPr>
          <w:p w:rsidR="00461A4D" w:rsidRPr="00D73558" w:rsidRDefault="00461A4D" w:rsidP="00461A4D">
            <w:pPr>
              <w:pStyle w:val="TableParagraph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Reporting of search strategy should include</w:t>
            </w:r>
          </w:p>
        </w:tc>
      </w:tr>
      <w:tr w:rsidR="00461A4D" w:rsidRPr="00D73558" w:rsidTr="00461A4D">
        <w:trPr>
          <w:trHeight w:val="69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Qualifications of searchers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3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73558">
              <w:rPr>
                <w:sz w:val="24"/>
                <w:szCs w:val="24"/>
              </w:rPr>
              <w:t xml:space="preserve">redentials of the two investigators </w:t>
            </w:r>
            <w:r>
              <w:rPr>
                <w:sz w:val="24"/>
                <w:szCs w:val="24"/>
              </w:rPr>
              <w:t>(</w:t>
            </w:r>
            <w:r w:rsidRPr="00D73558">
              <w:rPr>
                <w:sz w:val="24"/>
                <w:szCs w:val="24"/>
              </w:rPr>
              <w:t>CZ</w:t>
            </w:r>
            <w:r>
              <w:rPr>
                <w:sz w:val="24"/>
                <w:szCs w:val="24"/>
              </w:rPr>
              <w:t>,</w:t>
            </w:r>
            <w:r w:rsidRPr="00D73558">
              <w:rPr>
                <w:sz w:val="24"/>
                <w:szCs w:val="24"/>
              </w:rPr>
              <w:t xml:space="preserve"> ZW</w:t>
            </w:r>
            <w:r>
              <w:rPr>
                <w:sz w:val="24"/>
                <w:szCs w:val="24"/>
              </w:rPr>
              <w:t>)</w:t>
            </w:r>
            <w:r w:rsidRPr="00D73558">
              <w:rPr>
                <w:sz w:val="24"/>
                <w:szCs w:val="24"/>
              </w:rPr>
              <w:t xml:space="preserve"> are indicated in the author list.</w:t>
            </w:r>
          </w:p>
        </w:tc>
      </w:tr>
      <w:tr w:rsidR="00461A4D" w:rsidRPr="00D73558" w:rsidTr="00461A4D">
        <w:trPr>
          <w:trHeight w:val="205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15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Search strategy, including </w:t>
            </w:r>
            <w:r w:rsidRPr="00D73558">
              <w:rPr>
                <w:spacing w:val="-5"/>
                <w:sz w:val="24"/>
                <w:szCs w:val="24"/>
              </w:rPr>
              <w:t xml:space="preserve">time </w:t>
            </w:r>
            <w:r w:rsidRPr="00D73558">
              <w:rPr>
                <w:sz w:val="24"/>
                <w:szCs w:val="24"/>
              </w:rPr>
              <w:t>period included in the synthesis and</w:t>
            </w:r>
            <w:r w:rsidRPr="00D73558">
              <w:rPr>
                <w:spacing w:val="-1"/>
                <w:sz w:val="24"/>
                <w:szCs w:val="24"/>
              </w:rPr>
              <w:t xml:space="preserve"> </w:t>
            </w:r>
            <w:r w:rsidRPr="00D73558">
              <w:rPr>
                <w:sz w:val="24"/>
                <w:szCs w:val="24"/>
              </w:rPr>
              <w:t>keywords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32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Medline, </w:t>
            </w:r>
            <w:proofErr w:type="spellStart"/>
            <w:r w:rsidRPr="00D73558">
              <w:rPr>
                <w:sz w:val="24"/>
                <w:szCs w:val="24"/>
              </w:rPr>
              <w:t>Embase</w:t>
            </w:r>
            <w:proofErr w:type="spellEnd"/>
            <w:r w:rsidRPr="00D73558">
              <w:rPr>
                <w:sz w:val="24"/>
                <w:szCs w:val="24"/>
              </w:rPr>
              <w:t>, and the Cochrane Central Register of Controlled Trials were searched from inception to January 10th, 2020</w:t>
            </w:r>
            <w:r>
              <w:rPr>
                <w:sz w:val="24"/>
                <w:szCs w:val="24"/>
              </w:rPr>
              <w:t>.</w:t>
            </w:r>
          </w:p>
          <w:p w:rsidR="00461A4D" w:rsidRPr="00D73558" w:rsidRDefault="00461A4D" w:rsidP="00461A4D">
            <w:pPr>
              <w:pStyle w:val="TableParagraph"/>
              <w:snapToGrid w:val="0"/>
              <w:ind w:left="108" w:right="7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73558">
              <w:rPr>
                <w:sz w:val="24"/>
                <w:szCs w:val="24"/>
              </w:rPr>
              <w:t xml:space="preserve">eywords: </w:t>
            </w:r>
            <w:r>
              <w:rPr>
                <w:sz w:val="24"/>
                <w:szCs w:val="24"/>
              </w:rPr>
              <w:t>“</w:t>
            </w:r>
            <w:r w:rsidRPr="00D73558">
              <w:rPr>
                <w:sz w:val="24"/>
                <w:szCs w:val="24"/>
              </w:rPr>
              <w:t>chronic hepatitis B</w:t>
            </w:r>
            <w:r>
              <w:rPr>
                <w:sz w:val="24"/>
                <w:szCs w:val="24"/>
              </w:rPr>
              <w:t>”</w:t>
            </w:r>
            <w:r w:rsidRPr="00D735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“</w:t>
            </w:r>
            <w:r w:rsidRPr="00D73558">
              <w:rPr>
                <w:sz w:val="24"/>
                <w:szCs w:val="24"/>
              </w:rPr>
              <w:t>liver biopsy</w:t>
            </w:r>
            <w:r>
              <w:rPr>
                <w:sz w:val="24"/>
                <w:szCs w:val="24"/>
              </w:rPr>
              <w:t>”</w:t>
            </w:r>
            <w:r w:rsidRPr="00D735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“</w:t>
            </w:r>
            <w:r w:rsidRPr="00D73558">
              <w:rPr>
                <w:sz w:val="24"/>
                <w:szCs w:val="24"/>
              </w:rPr>
              <w:t>alanine aminotransferase</w:t>
            </w:r>
            <w:r>
              <w:rPr>
                <w:sz w:val="24"/>
                <w:szCs w:val="24"/>
              </w:rPr>
              <w:t>”</w:t>
            </w:r>
          </w:p>
        </w:tc>
      </w:tr>
      <w:tr w:rsidR="00461A4D" w:rsidRPr="00D73558" w:rsidTr="00461A4D">
        <w:trPr>
          <w:trHeight w:val="551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80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Databases and registries searched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32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Medline, </w:t>
            </w:r>
            <w:proofErr w:type="spellStart"/>
            <w:r w:rsidRPr="00D73558">
              <w:rPr>
                <w:sz w:val="24"/>
                <w:szCs w:val="24"/>
              </w:rPr>
              <w:t>Embase</w:t>
            </w:r>
            <w:proofErr w:type="spellEnd"/>
            <w:r w:rsidRPr="00D73558">
              <w:rPr>
                <w:sz w:val="24"/>
                <w:szCs w:val="24"/>
              </w:rPr>
              <w:t>, and the Cochrane Central Regist</w:t>
            </w:r>
            <w:r>
              <w:rPr>
                <w:sz w:val="24"/>
                <w:szCs w:val="24"/>
              </w:rPr>
              <w:t>ry</w:t>
            </w:r>
            <w:r w:rsidRPr="00D73558">
              <w:rPr>
                <w:sz w:val="24"/>
                <w:szCs w:val="24"/>
              </w:rPr>
              <w:t xml:space="preserve"> of Controlled Trials</w:t>
            </w:r>
          </w:p>
        </w:tc>
      </w:tr>
      <w:tr w:rsidR="00461A4D" w:rsidRPr="00D73558" w:rsidTr="00461A4D">
        <w:trPr>
          <w:trHeight w:val="826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25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Search software used, name and version, including special features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2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We did not employ search software. EndNote was used to merge retrieved citations and eliminate duplications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461A4D" w:rsidRPr="00D73558" w:rsidTr="00461A4D">
        <w:trPr>
          <w:trHeight w:val="291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Use of hand searching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We hand-searched bibliographies of related papers.</w:t>
            </w:r>
          </w:p>
        </w:tc>
      </w:tr>
      <w:tr w:rsidR="00461A4D" w:rsidRPr="00D73558" w:rsidTr="00461A4D">
        <w:trPr>
          <w:trHeight w:val="828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lastRenderedPageBreak/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45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List of citations located and those excluded, including</w:t>
            </w:r>
          </w:p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justifications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Details of the literature search process are outlined in the flow chart. The citation list is available </w:t>
            </w:r>
            <w:r>
              <w:rPr>
                <w:sz w:val="24"/>
                <w:szCs w:val="24"/>
              </w:rPr>
              <w:t>in</w:t>
            </w:r>
            <w:r w:rsidRPr="00D73558"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Supplementary </w:t>
            </w:r>
            <w:r>
              <w:rPr>
                <w:sz w:val="24"/>
                <w:szCs w:val="24"/>
              </w:rPr>
              <w:t xml:space="preserve">Table </w:t>
            </w:r>
            <w:bookmarkStart w:id="0" w:name="_GoBack"/>
            <w:bookmarkEnd w:id="0"/>
            <w:r w:rsidRPr="005F4111">
              <w:rPr>
                <w:sz w:val="24"/>
                <w:szCs w:val="24"/>
              </w:rPr>
              <w:t>2</w:t>
            </w:r>
            <w:r w:rsidRPr="00D73558">
              <w:rPr>
                <w:sz w:val="24"/>
                <w:szCs w:val="24"/>
              </w:rPr>
              <w:t>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</w:t>
            </w: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Method of addressing articles</w:t>
            </w:r>
            <w:r w:rsidRPr="00D73558">
              <w:rPr>
                <w:sz w:val="24"/>
                <w:szCs w:val="24"/>
              </w:rPr>
              <w:t xml:space="preserve"> </w:t>
            </w:r>
            <w:r w:rsidRPr="00D73558">
              <w:rPr>
                <w:sz w:val="24"/>
                <w:szCs w:val="24"/>
              </w:rPr>
              <w:t>published in languages other than English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Language was limited </w:t>
            </w:r>
            <w:r>
              <w:rPr>
                <w:sz w:val="24"/>
                <w:szCs w:val="24"/>
              </w:rPr>
              <w:t>to</w:t>
            </w:r>
            <w:r w:rsidRPr="00D73558">
              <w:rPr>
                <w:sz w:val="24"/>
                <w:szCs w:val="24"/>
              </w:rPr>
              <w:t xml:space="preserve"> English.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313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Method of handling abstracts and unpublished studies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Not included in abstracts and unpublished studies</w:t>
            </w:r>
          </w:p>
        </w:tc>
      </w:tr>
      <w:tr w:rsidR="00461A4D" w:rsidRPr="00D73558" w:rsidTr="00461A4D">
        <w:trPr>
          <w:trHeight w:val="1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9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Description of any contact with authors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There is no contact with these authors</w:t>
            </w:r>
          </w:p>
        </w:tc>
      </w:tr>
      <w:tr w:rsidR="00461A4D" w:rsidRPr="00D73558" w:rsidTr="00461A4D">
        <w:trPr>
          <w:trHeight w:val="69"/>
        </w:trPr>
        <w:tc>
          <w:tcPr>
            <w:tcW w:w="13773" w:type="dxa"/>
            <w:gridSpan w:val="3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Reporting of methods should include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473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Description of relevance or appropriateness of studies assembled for assessing the hypothesis to be tested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30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Detailed inclusion and exclusion criteria were described in the </w:t>
            </w:r>
            <w:r>
              <w:rPr>
                <w:sz w:val="24"/>
                <w:szCs w:val="24"/>
              </w:rPr>
              <w:t>M</w:t>
            </w:r>
            <w:r w:rsidRPr="00D73558">
              <w:rPr>
                <w:sz w:val="24"/>
                <w:szCs w:val="24"/>
              </w:rPr>
              <w:t>ethods section.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Rationale for the selection and coding of data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269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Extract demographic features, clinical data, pathological data, etc., from each study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Assessment of confounding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17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The included study must specify the liver pathology scoring system used. Patients with other forms of chronic viral hepatitis (hepatitis C virus, hepatitis D virus</w:t>
            </w:r>
            <w:r>
              <w:rPr>
                <w:sz w:val="24"/>
                <w:szCs w:val="24"/>
              </w:rPr>
              <w:t>,</w:t>
            </w:r>
            <w:r w:rsidRPr="00D73558">
              <w:rPr>
                <w:sz w:val="24"/>
                <w:szCs w:val="24"/>
              </w:rPr>
              <w:t xml:space="preserve"> or human immunodeficiency virus co-infection) and other chronic liver diseases (autoimmune, genetic, drug-induced</w:t>
            </w:r>
            <w:r>
              <w:rPr>
                <w:sz w:val="24"/>
                <w:szCs w:val="24"/>
              </w:rPr>
              <w:t>,</w:t>
            </w:r>
            <w:r w:rsidRPr="00D73558">
              <w:rPr>
                <w:sz w:val="24"/>
                <w:szCs w:val="24"/>
              </w:rPr>
              <w:t xml:space="preserve"> etc.) were excluded. In addition, the sensitivity of the included study was analyzed.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36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Assessment of study quality, including blinding of quality assessors; stratification or regression on possible predictors of study results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141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Funnel plot (and trim</w:t>
            </w:r>
            <w:r>
              <w:rPr>
                <w:sz w:val="24"/>
                <w:szCs w:val="24"/>
              </w:rPr>
              <w:t>-</w:t>
            </w:r>
            <w:r w:rsidRPr="00D73558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>-</w:t>
            </w:r>
            <w:r w:rsidRPr="00D73558">
              <w:rPr>
                <w:sz w:val="24"/>
                <w:szCs w:val="24"/>
              </w:rPr>
              <w:t>fill analysis, which yields an effect adjusted for funnel plot asymmetry),</w:t>
            </w:r>
            <w:r>
              <w:rPr>
                <w:sz w:val="24"/>
                <w:szCs w:val="24"/>
              </w:rPr>
              <w:t xml:space="preserve"> and </w:t>
            </w:r>
            <w:proofErr w:type="spellStart"/>
            <w:r w:rsidRPr="00D73558">
              <w:rPr>
                <w:sz w:val="24"/>
                <w:szCs w:val="24"/>
              </w:rPr>
              <w:t>Begg’s</w:t>
            </w:r>
            <w:proofErr w:type="spellEnd"/>
            <w:r w:rsidRPr="00D73558">
              <w:rPr>
                <w:sz w:val="24"/>
                <w:szCs w:val="24"/>
              </w:rPr>
              <w:t xml:space="preserve"> test and Egger’s test to examine the potential publication bias. In addition, if two or more studies were published based on the same data, the</w:t>
            </w:r>
            <w:r>
              <w:rPr>
                <w:sz w:val="24"/>
                <w:szCs w:val="24"/>
              </w:rPr>
              <w:t xml:space="preserve"> </w:t>
            </w:r>
            <w:r w:rsidRPr="00D73558">
              <w:rPr>
                <w:sz w:val="24"/>
                <w:szCs w:val="24"/>
              </w:rPr>
              <w:t>article with the highest quality was included.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Assessment of heterogeneity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18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Considering the low incidence of interest events, double arcsine transformation was used to calculate the proportion of significant histological changes and cirrhosis. Q-statistics and Cochrane Q-test were used to assess heterogeneity between studies, where </w:t>
            </w:r>
            <w:r w:rsidRPr="00EC6684">
              <w:rPr>
                <w:i/>
                <w:iCs/>
                <w:sz w:val="24"/>
                <w:szCs w:val="24"/>
              </w:rPr>
              <w:t>p</w:t>
            </w:r>
            <w:r w:rsidRPr="00D73558">
              <w:rPr>
                <w:sz w:val="24"/>
                <w:szCs w:val="24"/>
              </w:rPr>
              <w:t xml:space="preserve">&lt;0.10 was regarded to be statistically significant. </w:t>
            </w:r>
            <w:r w:rsidRPr="00D73558">
              <w:rPr>
                <w:sz w:val="24"/>
                <w:szCs w:val="24"/>
              </w:rPr>
              <w:lastRenderedPageBreak/>
              <w:t xml:space="preserve">The </w:t>
            </w:r>
            <w:r w:rsidRPr="00EC6684">
              <w:rPr>
                <w:i/>
                <w:iCs/>
                <w:sz w:val="24"/>
                <w:szCs w:val="24"/>
              </w:rPr>
              <w:t>I</w:t>
            </w:r>
            <w:r w:rsidRPr="00FB7ADC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D7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statistic </w:t>
            </w:r>
            <w:r w:rsidRPr="00D73558">
              <w:rPr>
                <w:sz w:val="24"/>
                <w:szCs w:val="24"/>
              </w:rPr>
              <w:t xml:space="preserve">was calculated to describe the percent of observed variation across studies caused by heterogeneity, with an </w:t>
            </w:r>
            <w:r w:rsidRPr="00E93301">
              <w:rPr>
                <w:i/>
                <w:iCs/>
                <w:sz w:val="24"/>
                <w:szCs w:val="24"/>
              </w:rPr>
              <w:t>I</w:t>
            </w:r>
            <w:r w:rsidRPr="00FB7ADC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D7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statistic </w:t>
            </w:r>
            <w:r w:rsidRPr="00D73558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&gt;</w:t>
            </w:r>
            <w:r w:rsidRPr="00D73558">
              <w:rPr>
                <w:sz w:val="24"/>
                <w:szCs w:val="24"/>
              </w:rPr>
              <w:t>75%, 25</w:t>
            </w:r>
            <w:r>
              <w:rPr>
                <w:sz w:val="24"/>
                <w:szCs w:val="24"/>
              </w:rPr>
              <w:t>-</w:t>
            </w:r>
            <w:r w:rsidRPr="00D73558">
              <w:rPr>
                <w:sz w:val="24"/>
                <w:szCs w:val="24"/>
              </w:rPr>
              <w:t xml:space="preserve">75%, </w:t>
            </w:r>
            <w:r>
              <w:rPr>
                <w:sz w:val="24"/>
                <w:szCs w:val="24"/>
              </w:rPr>
              <w:t>and &lt;</w:t>
            </w:r>
            <w:r w:rsidRPr="00D73558">
              <w:rPr>
                <w:sz w:val="24"/>
                <w:szCs w:val="24"/>
              </w:rPr>
              <w:t>25% considered as high, moderate, and low heterogeneity, respectively.</w:t>
            </w:r>
          </w:p>
          <w:p w:rsidR="00461A4D" w:rsidRPr="00D73558" w:rsidRDefault="00461A4D" w:rsidP="00461A4D">
            <w:pPr>
              <w:pStyle w:val="TableParagraph"/>
              <w:snapToGrid w:val="0"/>
              <w:ind w:left="108" w:right="949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Heterogeneity was expected, so all analyses were performed with a random-effects model.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253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Description of statistical methods in sufficient detail to be replicated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2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Description of methods of meta-analyses, sensitivity analyses, meta-regression and assessment of publication bias are detailed in the methods.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16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Provision of appropriate tables and graphics</w:t>
            </w:r>
          </w:p>
        </w:tc>
        <w:tc>
          <w:tcPr>
            <w:tcW w:w="10053" w:type="dxa"/>
          </w:tcPr>
          <w:p w:rsidR="00461A4D" w:rsidRPr="00BA0C7E" w:rsidRDefault="00461A4D" w:rsidP="00461A4D">
            <w:pPr>
              <w:pStyle w:val="TableParagraph"/>
              <w:snapToGrid w:val="0"/>
              <w:ind w:left="108" w:right="74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Fig</w:t>
            </w:r>
            <w:r>
              <w:rPr>
                <w:sz w:val="24"/>
                <w:szCs w:val="24"/>
              </w:rPr>
              <w:t>.</w:t>
            </w:r>
            <w:r w:rsidRPr="00D73558">
              <w:rPr>
                <w:sz w:val="24"/>
                <w:szCs w:val="24"/>
              </w:rPr>
              <w:t xml:space="preserve"> 1. Flowchart for study selection in the meta- </w:t>
            </w:r>
            <w:r w:rsidRPr="00BA0C7E">
              <w:rPr>
                <w:sz w:val="24"/>
                <w:szCs w:val="24"/>
              </w:rPr>
              <w:t>analysis.</w:t>
            </w:r>
          </w:p>
          <w:p w:rsidR="00461A4D" w:rsidRDefault="00461A4D" w:rsidP="00461A4D">
            <w:pPr>
              <w:pStyle w:val="TableParagraph"/>
              <w:snapToGrid w:val="0"/>
              <w:ind w:left="108" w:right="748"/>
              <w:jc w:val="both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BA0C7E">
              <w:rPr>
                <w:sz w:val="24"/>
                <w:szCs w:val="24"/>
              </w:rPr>
              <w:t xml:space="preserve">Fig. 2. Proportion of significant pathological changes in patients with CHB and normal ALT. (A) Inflammation grade </w:t>
            </w:r>
            <w:r w:rsidRPr="00BA0C7E">
              <w:rPr>
                <w:rFonts w:hint="eastAsia"/>
                <w:sz w:val="24"/>
                <w:szCs w:val="24"/>
              </w:rPr>
              <w:t>≥</w:t>
            </w:r>
            <w:r w:rsidRPr="00BA0C7E">
              <w:rPr>
                <w:sz w:val="24"/>
                <w:szCs w:val="24"/>
              </w:rPr>
              <w:t xml:space="preserve"> 2. </w:t>
            </w:r>
            <w:r w:rsidRPr="00EC6684">
              <w:rPr>
                <w:sz w:val="24"/>
                <w:szCs w:val="24"/>
              </w:rPr>
              <w:t xml:space="preserve">(B) Fibrosis stage </w:t>
            </w:r>
            <w:r w:rsidRPr="00EC6684">
              <w:rPr>
                <w:rFonts w:hint="eastAsia"/>
                <w:sz w:val="24"/>
                <w:szCs w:val="24"/>
              </w:rPr>
              <w:t>≥</w:t>
            </w:r>
            <w:r w:rsidRPr="00BA0C7E">
              <w:rPr>
                <w:sz w:val="24"/>
                <w:szCs w:val="24"/>
              </w:rPr>
              <w:t>2</w:t>
            </w:r>
            <w:r w:rsidRPr="00852469">
              <w:rPr>
                <w:sz w:val="24"/>
                <w:szCs w:val="24"/>
              </w:rPr>
              <w:t>.</w:t>
            </w:r>
            <w:r w:rsidRPr="00BE53AB">
              <w:rPr>
                <w:sz w:val="24"/>
                <w:szCs w:val="24"/>
              </w:rPr>
              <w:t xml:space="preserve"> (C) </w:t>
            </w:r>
            <w:r w:rsidRPr="00BA0C7E">
              <w:rPr>
                <w:sz w:val="24"/>
                <w:szCs w:val="24"/>
              </w:rPr>
              <w:t>Cirrhosis.</w:t>
            </w:r>
          </w:p>
          <w:p w:rsidR="00461A4D" w:rsidRPr="00EC6684" w:rsidRDefault="00461A4D" w:rsidP="00461A4D">
            <w:pPr>
              <w:autoSpaceDE/>
              <w:autoSpaceDN/>
              <w:snapToGrid w:val="0"/>
              <w:ind w:firstLineChars="54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4">
              <w:rPr>
                <w:rFonts w:ascii="Times New Roman" w:hAnsi="Times New Roman" w:cs="Times New Roman"/>
                <w:sz w:val="24"/>
                <w:szCs w:val="24"/>
              </w:rPr>
              <w:t>Fig. 3.</w:t>
            </w:r>
            <w:r w:rsidRPr="00BA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684">
              <w:rPr>
                <w:rFonts w:ascii="Times New Roman" w:hAnsi="Times New Roman" w:cs="Times New Roman"/>
                <w:sz w:val="24"/>
                <w:szCs w:val="24"/>
              </w:rPr>
              <w:t>Summary of the proportion of moderate to severe inflammation in different subgroups.</w:t>
            </w:r>
          </w:p>
          <w:p w:rsidR="00461A4D" w:rsidRPr="00EC6684" w:rsidRDefault="00461A4D" w:rsidP="00461A4D">
            <w:pPr>
              <w:autoSpaceDE/>
              <w:autoSpaceDN/>
              <w:snapToGrid w:val="0"/>
              <w:ind w:firstLineChars="54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4">
              <w:rPr>
                <w:rFonts w:ascii="Times New Roman" w:hAnsi="Times New Roman" w:cs="Times New Roman"/>
                <w:sz w:val="24"/>
                <w:szCs w:val="24"/>
              </w:rPr>
              <w:t>Fig. 4. Summary of the proportion of significant fibrosis in different subgroups.</w:t>
            </w:r>
          </w:p>
          <w:p w:rsidR="00461A4D" w:rsidRPr="00EC6684" w:rsidRDefault="00461A4D" w:rsidP="00461A4D">
            <w:pPr>
              <w:autoSpaceDE/>
              <w:autoSpaceDN/>
              <w:snapToGrid w:val="0"/>
              <w:ind w:firstLineChars="54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4">
              <w:rPr>
                <w:rFonts w:ascii="Times New Roman" w:hAnsi="Times New Roman" w:cs="Times New Roman"/>
                <w:sz w:val="24"/>
                <w:szCs w:val="24"/>
              </w:rPr>
              <w:t>Fig. 5. Summary of the proportion of cirrhosis in different subgroups.</w:t>
            </w:r>
          </w:p>
          <w:p w:rsidR="00461A4D" w:rsidRPr="00461A4D" w:rsidRDefault="00461A4D" w:rsidP="00461A4D">
            <w:pPr>
              <w:pStyle w:val="TableParagraph"/>
              <w:snapToGrid w:val="0"/>
              <w:ind w:left="108" w:right="748"/>
              <w:jc w:val="both"/>
              <w:rPr>
                <w:rFonts w:eastAsiaTheme="minorEastAsia" w:hint="eastAsia"/>
                <w:lang w:eastAsia="zh-CN"/>
              </w:rPr>
            </w:pPr>
            <w:r w:rsidRPr="00EC6684">
              <w:rPr>
                <w:kern w:val="2"/>
                <w:sz w:val="24"/>
                <w:szCs w:val="24"/>
                <w:lang w:eastAsia="zh-CN"/>
              </w:rPr>
              <w:t xml:space="preserve">Fig. 6. Funnel plot and trim-and-fill analysis plot. </w:t>
            </w:r>
            <w:r w:rsidRPr="00BA0C7E">
              <w:rPr>
                <w:sz w:val="24"/>
                <w:szCs w:val="24"/>
              </w:rPr>
              <w:t>(A) Fun</w:t>
            </w:r>
            <w:r w:rsidRPr="00EC6684">
              <w:rPr>
                <w:kern w:val="2"/>
                <w:sz w:val="24"/>
                <w:szCs w:val="24"/>
                <w:lang w:eastAsia="zh-CN"/>
              </w:rPr>
              <w:t>nel plot of the proportion of moderate to severe inflammation. (B) Funnel plot of the proportion of significant fibrosis. (C) Funnel plot of the proportion of cirrhosis. (D) Trim-and-fill plot of the proportion of moderate to severe inflammation (two studies were added, as shown by the red points in the figure). (E) Trim-and-fill plot of the proportion of significant fibrosis (six studies were added, as shown by the red points in the figure). (F) Trim-and-fill plot of the proportion of cirrhosis (no studies were added).</w:t>
            </w:r>
          </w:p>
        </w:tc>
      </w:tr>
      <w:tr w:rsidR="00461A4D" w:rsidRPr="00D73558" w:rsidTr="003146CC">
        <w:trPr>
          <w:trHeight w:val="293"/>
        </w:trPr>
        <w:tc>
          <w:tcPr>
            <w:tcW w:w="13773" w:type="dxa"/>
            <w:gridSpan w:val="3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Reporting of results should</w:t>
            </w:r>
            <w:r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D73558">
              <w:rPr>
                <w:b/>
                <w:sz w:val="24"/>
                <w:szCs w:val="24"/>
              </w:rPr>
              <w:t>include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173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Graph summarizing individual study estimates and overall estimate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Fig</w:t>
            </w:r>
            <w:r>
              <w:rPr>
                <w:sz w:val="24"/>
                <w:szCs w:val="24"/>
              </w:rPr>
              <w:t>.</w:t>
            </w:r>
            <w:r w:rsidRPr="00D73558">
              <w:rPr>
                <w:sz w:val="24"/>
                <w:szCs w:val="24"/>
              </w:rPr>
              <w:t xml:space="preserve"> 2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56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Table giving descriptive information for each study</w:t>
            </w:r>
          </w:p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included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Table 1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Results of sensitivity testing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Supplementary </w:t>
            </w:r>
            <w:r>
              <w:rPr>
                <w:sz w:val="24"/>
                <w:szCs w:val="24"/>
              </w:rPr>
              <w:t xml:space="preserve">Table </w:t>
            </w:r>
            <w:r w:rsidRPr="00D73558">
              <w:rPr>
                <w:sz w:val="24"/>
                <w:szCs w:val="24"/>
              </w:rPr>
              <w:t>6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92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Indication of statistical </w:t>
            </w:r>
            <w:r w:rsidRPr="00D73558">
              <w:rPr>
                <w:sz w:val="24"/>
                <w:szCs w:val="24"/>
              </w:rPr>
              <w:lastRenderedPageBreak/>
              <w:t>uncertainty of findings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31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lastRenderedPageBreak/>
              <w:t xml:space="preserve">95% </w:t>
            </w:r>
            <w:r>
              <w:rPr>
                <w:sz w:val="24"/>
                <w:szCs w:val="24"/>
              </w:rPr>
              <w:t>CIs</w:t>
            </w:r>
            <w:r w:rsidRPr="00D73558">
              <w:rPr>
                <w:sz w:val="24"/>
                <w:szCs w:val="24"/>
              </w:rPr>
              <w:t xml:space="preserve"> were presented with all summary estimates, </w:t>
            </w:r>
            <w:r w:rsidRPr="00EC6684">
              <w:rPr>
                <w:i/>
                <w:iCs/>
                <w:sz w:val="24"/>
                <w:szCs w:val="24"/>
              </w:rPr>
              <w:t>I</w:t>
            </w:r>
            <w:r w:rsidRPr="00FB7ADC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D73558">
              <w:rPr>
                <w:position w:val="9"/>
                <w:sz w:val="24"/>
                <w:szCs w:val="24"/>
              </w:rPr>
              <w:t xml:space="preserve"> </w:t>
            </w:r>
            <w:r w:rsidRPr="00D73558">
              <w:rPr>
                <w:sz w:val="24"/>
                <w:szCs w:val="24"/>
              </w:rPr>
              <w:t>values</w:t>
            </w:r>
            <w:r>
              <w:rPr>
                <w:sz w:val="24"/>
                <w:szCs w:val="24"/>
              </w:rPr>
              <w:t>,</w:t>
            </w:r>
            <w:r w:rsidRPr="00D73558">
              <w:rPr>
                <w:sz w:val="24"/>
                <w:szCs w:val="24"/>
              </w:rPr>
              <w:t xml:space="preserve"> and results of sensitivity analyses</w:t>
            </w:r>
          </w:p>
        </w:tc>
      </w:tr>
      <w:tr w:rsidR="00461A4D" w:rsidRPr="00D73558" w:rsidTr="00503106">
        <w:trPr>
          <w:trHeight w:val="293"/>
        </w:trPr>
        <w:tc>
          <w:tcPr>
            <w:tcW w:w="13773" w:type="dxa"/>
            <w:gridSpan w:val="3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lastRenderedPageBreak/>
              <w:t>Reporting of discussion should include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Quantitative assessment of bias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85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In the sixth paragraph of the discussion, this paper describes in detail the causes of heterogeneity.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Justification for exclusion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27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We exclude</w:t>
            </w:r>
            <w:r>
              <w:rPr>
                <w:sz w:val="24"/>
                <w:szCs w:val="24"/>
              </w:rPr>
              <w:t>d</w:t>
            </w:r>
            <w:r w:rsidRPr="00D7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patients</w:t>
            </w:r>
            <w:r w:rsidRPr="00D73558">
              <w:rPr>
                <w:sz w:val="24"/>
                <w:szCs w:val="24"/>
              </w:rPr>
              <w:t xml:space="preserve"> with other chronic liver diseases, because other chronic liver diseases usually make the liver disease worse. In addition, the combined tumor </w:t>
            </w:r>
            <w:r>
              <w:rPr>
                <w:sz w:val="24"/>
                <w:szCs w:val="24"/>
              </w:rPr>
              <w:t>cases represent</w:t>
            </w:r>
            <w:r w:rsidRPr="00D73558">
              <w:rPr>
                <w:sz w:val="24"/>
                <w:szCs w:val="24"/>
              </w:rPr>
              <w:t xml:space="preserve"> a special group of </w:t>
            </w:r>
            <w:r>
              <w:rPr>
                <w:sz w:val="24"/>
                <w:szCs w:val="24"/>
              </w:rPr>
              <w:t>patients</w:t>
            </w:r>
            <w:r w:rsidRPr="00D7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</w:t>
            </w:r>
            <w:r w:rsidRPr="00D73558">
              <w:rPr>
                <w:sz w:val="24"/>
                <w:szCs w:val="24"/>
              </w:rPr>
              <w:t xml:space="preserve"> need to be treated differently. In order to avoid misjudgment </w:t>
            </w:r>
            <w:r>
              <w:rPr>
                <w:sz w:val="24"/>
                <w:szCs w:val="24"/>
              </w:rPr>
              <w:t>in</w:t>
            </w:r>
            <w:r w:rsidRPr="00D73558">
              <w:rPr>
                <w:sz w:val="24"/>
                <w:szCs w:val="24"/>
              </w:rPr>
              <w:t xml:space="preserve"> clinical decision-making.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74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Assessment of quality of included studies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33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We discussed the results of the sensitivity analyses and potential reasons for the observed heterogeneity.</w:t>
            </w:r>
          </w:p>
        </w:tc>
      </w:tr>
      <w:tr w:rsidR="00461A4D" w:rsidRPr="00D73558" w:rsidTr="00FD6F9C">
        <w:trPr>
          <w:trHeight w:val="293"/>
        </w:trPr>
        <w:tc>
          <w:tcPr>
            <w:tcW w:w="13773" w:type="dxa"/>
            <w:gridSpan w:val="3"/>
          </w:tcPr>
          <w:p w:rsidR="00461A4D" w:rsidRPr="00D73558" w:rsidRDefault="00461A4D" w:rsidP="00461A4D">
            <w:pPr>
              <w:pStyle w:val="TableParagraph"/>
              <w:snapToGrid w:val="0"/>
              <w:ind w:left="108"/>
              <w:jc w:val="both"/>
              <w:rPr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Reporting of conclusions should</w:t>
            </w:r>
            <w:r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D73558">
              <w:rPr>
                <w:b/>
                <w:sz w:val="24"/>
                <w:szCs w:val="24"/>
              </w:rPr>
              <w:t>include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44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Consideration of alternative explanations for observed</w:t>
            </w:r>
            <w:r w:rsidRPr="00D73558">
              <w:rPr>
                <w:sz w:val="24"/>
                <w:szCs w:val="24"/>
              </w:rPr>
              <w:t xml:space="preserve"> </w:t>
            </w:r>
            <w:r w:rsidRPr="00D73558">
              <w:rPr>
                <w:sz w:val="24"/>
                <w:szCs w:val="24"/>
              </w:rPr>
              <w:t>results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241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We discussed potential unmeasured confounding factors</w:t>
            </w:r>
            <w:r>
              <w:rPr>
                <w:sz w:val="24"/>
                <w:szCs w:val="24"/>
              </w:rPr>
              <w:t>,</w:t>
            </w:r>
            <w:r w:rsidRPr="00D73558">
              <w:rPr>
                <w:sz w:val="24"/>
                <w:szCs w:val="24"/>
              </w:rPr>
              <w:t xml:space="preserve"> such as patient selection bias and invasive liver biopsies.</w:t>
            </w:r>
            <w:r w:rsidRPr="00D73558">
              <w:rPr>
                <w:sz w:val="24"/>
                <w:szCs w:val="24"/>
              </w:rPr>
              <w:t xml:space="preserve"> </w:t>
            </w:r>
            <w:r w:rsidRPr="00D73558">
              <w:rPr>
                <w:sz w:val="24"/>
                <w:szCs w:val="24"/>
              </w:rPr>
              <w:t>We also boldly speculate that the real significant histological changes of the liver may be higher than our statistics</w:t>
            </w:r>
            <w:r>
              <w:rPr>
                <w:sz w:val="24"/>
                <w:szCs w:val="24"/>
              </w:rPr>
              <w:t xml:space="preserve"> indicate</w:t>
            </w:r>
            <w:r w:rsidRPr="00D73558">
              <w:rPr>
                <w:sz w:val="24"/>
                <w:szCs w:val="24"/>
              </w:rPr>
              <w:t>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ind w:right="1094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Generalization of the conclusions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14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In summary, significant histologic changes </w:t>
            </w:r>
            <w:r>
              <w:rPr>
                <w:sz w:val="24"/>
                <w:szCs w:val="24"/>
              </w:rPr>
              <w:t xml:space="preserve">are </w:t>
            </w:r>
            <w:r w:rsidRPr="00D73558">
              <w:rPr>
                <w:sz w:val="24"/>
                <w:szCs w:val="24"/>
              </w:rPr>
              <w:t>present in approximately one</w:t>
            </w:r>
            <w:r>
              <w:rPr>
                <w:sz w:val="24"/>
                <w:szCs w:val="24"/>
              </w:rPr>
              <w:t>-</w:t>
            </w:r>
            <w:r w:rsidRPr="00D73558">
              <w:rPr>
                <w:sz w:val="24"/>
                <w:szCs w:val="24"/>
              </w:rPr>
              <w:t xml:space="preserve">third of treatment-naive CHB patients with normal ALT levels, and about 3% </w:t>
            </w:r>
            <w:r>
              <w:rPr>
                <w:sz w:val="24"/>
                <w:szCs w:val="24"/>
              </w:rPr>
              <w:t xml:space="preserve">of the </w:t>
            </w:r>
            <w:r w:rsidRPr="00D73558">
              <w:rPr>
                <w:sz w:val="24"/>
                <w:szCs w:val="24"/>
              </w:rPr>
              <w:t xml:space="preserve">patients even progressed to cirrhosis. It is worth noting that the proportion of significant fibrosis and cirrhosis in </w:t>
            </w:r>
            <w:r>
              <w:rPr>
                <w:sz w:val="24"/>
                <w:szCs w:val="24"/>
              </w:rPr>
              <w:t>patients</w:t>
            </w:r>
            <w:r w:rsidRPr="00D73558">
              <w:rPr>
                <w:sz w:val="24"/>
                <w:szCs w:val="24"/>
              </w:rPr>
              <w:t xml:space="preserve"> over 40 </w:t>
            </w:r>
            <w:r>
              <w:rPr>
                <w:sz w:val="24"/>
                <w:szCs w:val="24"/>
              </w:rPr>
              <w:t>years-old</w:t>
            </w:r>
            <w:r w:rsidRPr="00D7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 w:rsidRPr="00D73558">
              <w:rPr>
                <w:sz w:val="24"/>
                <w:szCs w:val="24"/>
              </w:rPr>
              <w:t xml:space="preserve">re more than twice as high as those in </w:t>
            </w:r>
            <w:r>
              <w:rPr>
                <w:sz w:val="24"/>
                <w:szCs w:val="24"/>
              </w:rPr>
              <w:t xml:space="preserve">the </w:t>
            </w:r>
            <w:r w:rsidRPr="00D73558">
              <w:rPr>
                <w:sz w:val="24"/>
                <w:szCs w:val="24"/>
              </w:rPr>
              <w:t xml:space="preserve">younger </w:t>
            </w:r>
            <w:r>
              <w:rPr>
                <w:sz w:val="24"/>
                <w:szCs w:val="24"/>
              </w:rPr>
              <w:t>patients</w:t>
            </w:r>
            <w:r w:rsidRPr="00D73558">
              <w:rPr>
                <w:sz w:val="24"/>
                <w:szCs w:val="24"/>
              </w:rPr>
              <w:t>. The management of treatment</w:t>
            </w:r>
            <w:r>
              <w:rPr>
                <w:sz w:val="24"/>
                <w:szCs w:val="24"/>
              </w:rPr>
              <w:t>-</w:t>
            </w:r>
            <w:r w:rsidRPr="00D73558">
              <w:rPr>
                <w:sz w:val="24"/>
                <w:szCs w:val="24"/>
              </w:rPr>
              <w:t>naive CHB patients with normal ALT remain</w:t>
            </w:r>
            <w:r>
              <w:rPr>
                <w:sz w:val="24"/>
                <w:szCs w:val="24"/>
              </w:rPr>
              <w:t>s</w:t>
            </w:r>
            <w:r w:rsidRPr="00D73558">
              <w:rPr>
                <w:sz w:val="24"/>
                <w:szCs w:val="24"/>
              </w:rPr>
              <w:t xml:space="preserve"> a challenge and require</w:t>
            </w:r>
            <w:r>
              <w:rPr>
                <w:sz w:val="24"/>
                <w:szCs w:val="24"/>
              </w:rPr>
              <w:t>s</w:t>
            </w:r>
            <w:r w:rsidRPr="00D73558">
              <w:rPr>
                <w:sz w:val="24"/>
                <w:szCs w:val="24"/>
              </w:rPr>
              <w:t xml:space="preserve"> an individualized approach in addition to</w:t>
            </w:r>
            <w:r>
              <w:rPr>
                <w:sz w:val="24"/>
                <w:szCs w:val="24"/>
              </w:rPr>
              <w:t xml:space="preserve"> the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73558">
              <w:rPr>
                <w:sz w:val="24"/>
                <w:szCs w:val="24"/>
              </w:rPr>
              <w:t>standardized paradigms recommended by current guidelines.</w:t>
            </w:r>
          </w:p>
        </w:tc>
      </w:tr>
      <w:tr w:rsidR="00461A4D" w:rsidRPr="00D73558" w:rsidTr="00461A4D">
        <w:trPr>
          <w:trHeight w:val="293"/>
        </w:trPr>
        <w:tc>
          <w:tcPr>
            <w:tcW w:w="468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461A4D" w:rsidRPr="00D73558" w:rsidRDefault="00461A4D" w:rsidP="00461A4D">
            <w:pPr>
              <w:pStyle w:val="TableParagraph"/>
              <w:snapToGrid w:val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Guidelines for future research</w:t>
            </w:r>
          </w:p>
        </w:tc>
        <w:tc>
          <w:tcPr>
            <w:tcW w:w="10053" w:type="dxa"/>
          </w:tcPr>
          <w:p w:rsidR="00461A4D" w:rsidRPr="00D73558" w:rsidRDefault="00461A4D" w:rsidP="00461A4D">
            <w:pPr>
              <w:pStyle w:val="TableParagraph"/>
              <w:snapToGrid w:val="0"/>
              <w:ind w:left="108" w:right="441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The liver histological changes of treatment</w:t>
            </w:r>
            <w:r>
              <w:rPr>
                <w:sz w:val="24"/>
                <w:szCs w:val="24"/>
              </w:rPr>
              <w:t>-</w:t>
            </w:r>
            <w:r w:rsidRPr="00D73558">
              <w:rPr>
                <w:sz w:val="24"/>
                <w:szCs w:val="24"/>
              </w:rPr>
              <w:t xml:space="preserve">naive CHB patients with normal ALT are not as optimistic as we thought. Special care needs to be taken when making decisions </w:t>
            </w:r>
            <w:r>
              <w:rPr>
                <w:sz w:val="24"/>
                <w:szCs w:val="24"/>
              </w:rPr>
              <w:t>regarding</w:t>
            </w:r>
            <w:r w:rsidRPr="00D73558">
              <w:rPr>
                <w:sz w:val="24"/>
                <w:szCs w:val="24"/>
              </w:rPr>
              <w:t xml:space="preserve"> these patients not need</w:t>
            </w:r>
            <w:r>
              <w:rPr>
                <w:sz w:val="24"/>
                <w:szCs w:val="24"/>
              </w:rPr>
              <w:t>ing</w:t>
            </w:r>
            <w:r w:rsidRPr="00D73558">
              <w:rPr>
                <w:sz w:val="24"/>
                <w:szCs w:val="24"/>
              </w:rPr>
              <w:t xml:space="preserve"> anti-HBV treatment.</w:t>
            </w:r>
          </w:p>
        </w:tc>
      </w:tr>
    </w:tbl>
    <w:p w:rsidR="00072841" w:rsidRPr="00461A4D" w:rsidRDefault="00072841" w:rsidP="00461A4D"/>
    <w:sectPr w:rsidR="00072841" w:rsidRPr="00461A4D" w:rsidSect="00461A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D"/>
    <w:rsid w:val="00072841"/>
    <w:rsid w:val="004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1A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1A4D"/>
    <w:rPr>
      <w:b/>
      <w:bCs/>
      <w:kern w:val="44"/>
      <w:sz w:val="44"/>
      <w:szCs w:val="44"/>
    </w:rPr>
  </w:style>
  <w:style w:type="table" w:customStyle="1" w:styleId="TableNormal1">
    <w:name w:val="Table Normal1"/>
    <w:uiPriority w:val="2"/>
    <w:semiHidden/>
    <w:unhideWhenUsed/>
    <w:qFormat/>
    <w:rsid w:val="00461A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1A4D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1A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1A4D"/>
    <w:rPr>
      <w:b/>
      <w:bCs/>
      <w:kern w:val="44"/>
      <w:sz w:val="44"/>
      <w:szCs w:val="44"/>
    </w:rPr>
  </w:style>
  <w:style w:type="table" w:customStyle="1" w:styleId="TableNormal1">
    <w:name w:val="Table Normal1"/>
    <w:uiPriority w:val="2"/>
    <w:semiHidden/>
    <w:unhideWhenUsed/>
    <w:qFormat/>
    <w:rsid w:val="00461A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1A4D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2021-04-10T06:11:00Z</dcterms:created>
  <dcterms:modified xsi:type="dcterms:W3CDTF">2021-04-10T06:24:00Z</dcterms:modified>
</cp:coreProperties>
</file>