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A1" w:rsidRPr="00DD61A1" w:rsidRDefault="00DD61A1" w:rsidP="00DD61A1">
      <w:pPr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D61A1">
        <w:rPr>
          <w:rFonts w:ascii="Times New Roman" w:hAnsi="Times New Roman" w:cs="Times New Roman"/>
          <w:b/>
          <w:sz w:val="24"/>
          <w:szCs w:val="24"/>
        </w:rPr>
        <w:t>Supplementary Table 4.</w:t>
      </w:r>
      <w:proofErr w:type="gramEnd"/>
      <w:r w:rsidRPr="00DD61A1">
        <w:rPr>
          <w:rFonts w:ascii="Times New Roman" w:hAnsi="Times New Roman" w:cs="Times New Roman"/>
          <w:b/>
          <w:sz w:val="24"/>
          <w:szCs w:val="24"/>
        </w:rPr>
        <w:t xml:space="preserve"> Detailed clinical data of studies included in this meta-analysis</w:t>
      </w:r>
    </w:p>
    <w:tbl>
      <w:tblPr>
        <w:tblStyle w:val="TableNormal1"/>
        <w:tblW w:w="14178" w:type="dxa"/>
        <w:tblInd w:w="12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276"/>
        <w:gridCol w:w="1559"/>
        <w:gridCol w:w="1413"/>
        <w:gridCol w:w="1139"/>
        <w:gridCol w:w="1275"/>
        <w:gridCol w:w="1418"/>
        <w:gridCol w:w="1276"/>
        <w:gridCol w:w="1275"/>
        <w:gridCol w:w="1259"/>
      </w:tblGrid>
      <w:tr w:rsidR="00BB5116" w:rsidRPr="00DD61A1" w:rsidTr="00BB5116">
        <w:trPr>
          <w:trHeight w:val="143"/>
        </w:trPr>
        <w:tc>
          <w:tcPr>
            <w:tcW w:w="2288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DD61A1">
              <w:rPr>
                <w:b/>
                <w:bCs/>
                <w:sz w:val="24"/>
                <w:szCs w:val="24"/>
              </w:rPr>
              <w:t>Author (Year)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DD61A1">
              <w:rPr>
                <w:b/>
                <w:bCs/>
                <w:sz w:val="24"/>
                <w:szCs w:val="24"/>
              </w:rPr>
              <w:t>BMI in</w:t>
            </w:r>
            <w:r w:rsidRPr="00DD61A1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b/>
                <w:bCs/>
                <w:sz w:val="24"/>
                <w:szCs w:val="24"/>
              </w:rPr>
              <w:t>kg/m</w:t>
            </w:r>
            <w:r w:rsidRPr="00DD61A1">
              <w:rPr>
                <w:bCs/>
                <w:color w:val="FF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DD61A1">
              <w:rPr>
                <w:b/>
                <w:bCs/>
                <w:sz w:val="24"/>
                <w:szCs w:val="24"/>
              </w:rPr>
              <w:t>HBV DNA in</w:t>
            </w:r>
            <w:r w:rsidRPr="00DD61A1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b/>
                <w:bCs/>
                <w:sz w:val="24"/>
                <w:szCs w:val="24"/>
              </w:rPr>
              <w:t>log10 IU/mL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DD61A1">
              <w:rPr>
                <w:b/>
                <w:bCs/>
                <w:sz w:val="24"/>
                <w:szCs w:val="24"/>
              </w:rPr>
              <w:t>HBeAg</w:t>
            </w:r>
            <w:proofErr w:type="spellEnd"/>
            <w:r w:rsidRPr="00DD61A1">
              <w:rPr>
                <w:b/>
                <w:bCs/>
                <w:sz w:val="24"/>
                <w:szCs w:val="24"/>
              </w:rPr>
              <w:t xml:space="preserve"> as positive/</w:t>
            </w:r>
            <w:r w:rsidR="00BB5116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b/>
                <w:bCs/>
                <w:sz w:val="24"/>
                <w:szCs w:val="24"/>
              </w:rPr>
              <w:t>negative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="等线"/>
                <w:b/>
                <w:bCs/>
                <w:sz w:val="24"/>
                <w:szCs w:val="24"/>
              </w:rPr>
            </w:pPr>
            <w:r w:rsidRPr="00DD61A1">
              <w:rPr>
                <w:b/>
                <w:bCs/>
                <w:sz w:val="24"/>
                <w:szCs w:val="24"/>
              </w:rPr>
              <w:t>ALT in</w:t>
            </w:r>
            <w:r w:rsidRPr="00DD61A1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b/>
                <w:bCs/>
                <w:sz w:val="24"/>
                <w:szCs w:val="24"/>
              </w:rPr>
              <w:t>U/L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="等线"/>
                <w:b/>
                <w:bCs/>
                <w:sz w:val="24"/>
                <w:szCs w:val="24"/>
              </w:rPr>
            </w:pPr>
            <w:r w:rsidRPr="00DD61A1">
              <w:rPr>
                <w:b/>
                <w:bCs/>
                <w:sz w:val="24"/>
                <w:szCs w:val="24"/>
              </w:rPr>
              <w:t>AST in</w:t>
            </w:r>
            <w:r w:rsidRPr="00DD61A1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b/>
                <w:bCs/>
                <w:sz w:val="24"/>
                <w:szCs w:val="24"/>
              </w:rPr>
              <w:t>U/L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="等线"/>
                <w:b/>
                <w:bCs/>
                <w:sz w:val="24"/>
                <w:szCs w:val="24"/>
              </w:rPr>
            </w:pPr>
            <w:r w:rsidRPr="00DD61A1">
              <w:rPr>
                <w:b/>
                <w:bCs/>
                <w:sz w:val="24"/>
                <w:szCs w:val="24"/>
              </w:rPr>
              <w:t>GGT in</w:t>
            </w:r>
            <w:r w:rsidRPr="00DD61A1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b/>
                <w:bCs/>
                <w:sz w:val="24"/>
                <w:szCs w:val="24"/>
              </w:rPr>
              <w:t>U/L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DD61A1">
              <w:rPr>
                <w:b/>
                <w:bCs/>
                <w:sz w:val="24"/>
                <w:szCs w:val="24"/>
              </w:rPr>
              <w:t>Albumin in g/L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="等线"/>
                <w:b/>
                <w:bCs/>
                <w:sz w:val="24"/>
                <w:szCs w:val="24"/>
              </w:rPr>
            </w:pPr>
            <w:proofErr w:type="spellStart"/>
            <w:r w:rsidRPr="00DD61A1">
              <w:rPr>
                <w:b/>
                <w:bCs/>
                <w:sz w:val="24"/>
                <w:szCs w:val="24"/>
              </w:rPr>
              <w:t>Tbil</w:t>
            </w:r>
            <w:proofErr w:type="spellEnd"/>
            <w:r w:rsidRPr="00DD61A1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 xml:space="preserve"> i</w:t>
            </w:r>
            <w:r w:rsidRPr="00DD61A1">
              <w:rPr>
                <w:rFonts w:eastAsia="等线"/>
                <w:b/>
                <w:bCs/>
                <w:sz w:val="24"/>
                <w:szCs w:val="24"/>
              </w:rPr>
              <w:t xml:space="preserve">n </w:t>
            </w:r>
            <w:r w:rsidRPr="00DD61A1">
              <w:rPr>
                <w:b/>
                <w:bCs/>
                <w:sz w:val="24"/>
                <w:szCs w:val="24"/>
              </w:rPr>
              <w:t>µ</w:t>
            </w:r>
            <w:proofErr w:type="spellStart"/>
            <w:r w:rsidRPr="00DD61A1">
              <w:rPr>
                <w:b/>
                <w:bCs/>
                <w:sz w:val="24"/>
                <w:szCs w:val="24"/>
              </w:rPr>
              <w:t>mol</w:t>
            </w:r>
            <w:proofErr w:type="spellEnd"/>
            <w:r w:rsidRPr="00DD61A1">
              <w:rPr>
                <w:b/>
                <w:bCs/>
                <w:sz w:val="24"/>
                <w:szCs w:val="24"/>
              </w:rPr>
              <w:t>/L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="等线"/>
                <w:b/>
                <w:bCs/>
                <w:sz w:val="24"/>
                <w:szCs w:val="24"/>
              </w:rPr>
            </w:pPr>
            <w:r w:rsidRPr="00DD61A1">
              <w:rPr>
                <w:b/>
                <w:bCs/>
                <w:sz w:val="24"/>
                <w:szCs w:val="24"/>
              </w:rPr>
              <w:t>PLT as</w:t>
            </w:r>
            <w:r w:rsidRPr="00DD61A1">
              <w:rPr>
                <w:rFonts w:eastAsiaTheme="minorEastAsia" w:hint="eastAsia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rFonts w:eastAsia="等线"/>
                <w:b/>
                <w:bCs/>
                <w:sz w:val="24"/>
                <w:szCs w:val="24"/>
              </w:rPr>
              <w:sym w:font="Symbol" w:char="F0B4"/>
            </w:r>
            <w:r w:rsidRPr="00DD61A1">
              <w:rPr>
                <w:b/>
                <w:bCs/>
                <w:sz w:val="24"/>
                <w:szCs w:val="24"/>
              </w:rPr>
              <w:t>10</w:t>
            </w:r>
            <w:r w:rsidRPr="00DD61A1">
              <w:rPr>
                <w:bCs/>
                <w:color w:val="FF0000"/>
                <w:sz w:val="24"/>
                <w:szCs w:val="24"/>
                <w:vertAlign w:val="superscript"/>
              </w:rPr>
              <w:t>9</w:t>
            </w:r>
            <w:r w:rsidRPr="00DD61A1">
              <w:rPr>
                <w:b/>
                <w:bCs/>
                <w:sz w:val="24"/>
                <w:szCs w:val="24"/>
              </w:rPr>
              <w:t>/L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Lai M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32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(2007)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6.3±0.7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33/26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proofErr w:type="spellStart"/>
            <w:r w:rsidRPr="00DD61A1">
              <w:rPr>
                <w:sz w:val="24"/>
                <w:szCs w:val="24"/>
              </w:rPr>
              <w:t>Papatheodoridis</w:t>
            </w:r>
            <w:proofErr w:type="spellEnd"/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G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8</w:t>
            </w:r>
            <w:r w:rsidRPr="00DD61A1">
              <w:rPr>
                <w:sz w:val="24"/>
                <w:szCs w:val="24"/>
              </w:rPr>
              <w:t xml:space="preserve"> (2008)</w:t>
            </w:r>
          </w:p>
        </w:tc>
        <w:tc>
          <w:tcPr>
            <w:tcW w:w="1276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25.0±4.0</w:t>
            </w:r>
          </w:p>
        </w:tc>
        <w:tc>
          <w:tcPr>
            <w:tcW w:w="1559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6.5±3.8</w:t>
            </w:r>
          </w:p>
        </w:tc>
        <w:tc>
          <w:tcPr>
            <w:tcW w:w="1413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0/113</w:t>
            </w:r>
          </w:p>
        </w:tc>
        <w:tc>
          <w:tcPr>
            <w:tcW w:w="1139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28.3±2</w:t>
            </w:r>
            <w:bookmarkStart w:id="0" w:name="_GoBack"/>
            <w:bookmarkEnd w:id="0"/>
            <w:r w:rsidRPr="00DD61A1">
              <w:rPr>
                <w:sz w:val="24"/>
                <w:szCs w:val="24"/>
              </w:rPr>
              <w:t>1.1</w:t>
            </w:r>
          </w:p>
        </w:tc>
        <w:tc>
          <w:tcPr>
            <w:tcW w:w="1275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37.3±38.5</w:t>
            </w:r>
          </w:p>
        </w:tc>
        <w:tc>
          <w:tcPr>
            <w:tcW w:w="1418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  <w:tcBorders>
              <w:top w:val="nil"/>
            </w:tcBorders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Kumar M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33</w:t>
            </w:r>
            <w:r w:rsidRPr="00DD61A1">
              <w:rPr>
                <w:sz w:val="24"/>
                <w:szCs w:val="24"/>
              </w:rPr>
              <w:t xml:space="preserve"> (2008)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21.9±5.8/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22.6±2.11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5.6±1.4/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5.1±1.4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73/58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Nguyen MH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30</w:t>
            </w:r>
            <w:r w:rsidRPr="00DD61A1">
              <w:rPr>
                <w:sz w:val="24"/>
                <w:szCs w:val="24"/>
              </w:rPr>
              <w:t xml:space="preserve"> (2009)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6.2±1.9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41/60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27.4±7.6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Chen EQ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36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(2010)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21.5±2.7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proofErr w:type="spellStart"/>
            <w:r w:rsidRPr="00DD61A1">
              <w:rPr>
                <w:sz w:val="24"/>
                <w:szCs w:val="24"/>
              </w:rPr>
              <w:t>Gui</w:t>
            </w:r>
            <w:proofErr w:type="spellEnd"/>
            <w:r w:rsidRPr="00DD61A1">
              <w:rPr>
                <w:sz w:val="24"/>
                <w:szCs w:val="24"/>
              </w:rPr>
              <w:t xml:space="preserve"> HL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34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(2010)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5.8±2.0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153/99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31.7±12.7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27.8±7.8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41.9±5.0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13.7±12.7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188.7±58.8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proofErr w:type="spellStart"/>
            <w:r w:rsidRPr="00DD61A1">
              <w:rPr>
                <w:sz w:val="24"/>
                <w:szCs w:val="24"/>
              </w:rPr>
              <w:t>Montazeri</w:t>
            </w:r>
            <w:proofErr w:type="spellEnd"/>
            <w:r w:rsidRPr="00DD61A1">
              <w:rPr>
                <w:sz w:val="24"/>
                <w:szCs w:val="24"/>
              </w:rPr>
              <w:t xml:space="preserve"> G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38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(2010)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5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25±4.65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15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2.8±0.9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694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0/132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23.9±8.0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07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24.0±6.7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1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362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6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proofErr w:type="spellStart"/>
            <w:r w:rsidRPr="00DD61A1">
              <w:rPr>
                <w:sz w:val="24"/>
                <w:szCs w:val="24"/>
              </w:rPr>
              <w:t>Sanai</w:t>
            </w:r>
            <w:proofErr w:type="spellEnd"/>
            <w:r w:rsidRPr="00DD61A1">
              <w:rPr>
                <w:sz w:val="24"/>
                <w:szCs w:val="24"/>
              </w:rPr>
              <w:t xml:space="preserve"> FM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28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(2011)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34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15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5.0±0.9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694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26.7±9.2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27.2±9.5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1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362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6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12.4±8.0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proofErr w:type="spellStart"/>
            <w:r w:rsidRPr="00DD61A1">
              <w:rPr>
                <w:sz w:val="24"/>
                <w:szCs w:val="24"/>
              </w:rPr>
              <w:t>Lesmana</w:t>
            </w:r>
            <w:proofErr w:type="spellEnd"/>
            <w:r w:rsidRPr="00DD61A1">
              <w:rPr>
                <w:sz w:val="24"/>
                <w:szCs w:val="24"/>
              </w:rPr>
              <w:t xml:space="preserve"> CR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31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(2011)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34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15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6.1±1.7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694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05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83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1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362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6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proofErr w:type="spellStart"/>
            <w:r w:rsidRPr="00DD61A1">
              <w:rPr>
                <w:sz w:val="24"/>
                <w:szCs w:val="24"/>
              </w:rPr>
              <w:t>Alam</w:t>
            </w:r>
            <w:proofErr w:type="spellEnd"/>
            <w:r w:rsidRPr="00DD61A1">
              <w:rPr>
                <w:sz w:val="24"/>
                <w:szCs w:val="24"/>
              </w:rPr>
              <w:t xml:space="preserve"> S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37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(2011)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34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15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6.4±2.3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694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55/126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05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83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11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362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 w:right="69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Liao BL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5</w:t>
            </w:r>
            <w:r w:rsidRPr="00DD61A1">
              <w:rPr>
                <w:sz w:val="24"/>
                <w:szCs w:val="24"/>
                <w:vertAlign w:val="superscript"/>
              </w:rPr>
              <w:t xml:space="preserve"> </w:t>
            </w:r>
            <w:r w:rsidRPr="00DD61A1">
              <w:rPr>
                <w:sz w:val="24"/>
                <w:szCs w:val="24"/>
              </w:rPr>
              <w:t>(2013)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7.6±0.7/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3.2±0.5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85/55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27.0±6.7/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23.8±8.0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24.4±4.5/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23.9±5.7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45.3±3.5/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44.5±4.2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212.3±57.5/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211.1±67.8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Wan RJ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 xml:space="preserve">27 </w:t>
            </w:r>
            <w:r w:rsidRPr="00DD61A1">
              <w:rPr>
                <w:sz w:val="24"/>
                <w:szCs w:val="24"/>
              </w:rPr>
              <w:t>(2015)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23.0±3.6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6.6±1.6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125/0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26.9±9.9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23.3±5.1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18.9±13.7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45.2±3.9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15.6±10.6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188.8±49.0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lastRenderedPageBreak/>
              <w:t>Gong XQ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35</w:t>
            </w:r>
            <w:r w:rsidRPr="00DD61A1">
              <w:rPr>
                <w:sz w:val="24"/>
                <w:szCs w:val="24"/>
              </w:rPr>
              <w:t xml:space="preserve"> (2015)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6.9±1.8/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4.0±0.9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50/50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31.7±8.4/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26.9±7.3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29.0±9.2/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25.0±4.6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w w:val="95"/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189.5±65.6/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167.5±54.6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Tan YW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 xml:space="preserve">7 </w:t>
            </w:r>
            <w:r w:rsidRPr="00DD61A1">
              <w:rPr>
                <w:sz w:val="24"/>
                <w:szCs w:val="24"/>
              </w:rPr>
              <w:t>(2015)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24.1±2.3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7.4±2.4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113/0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27.4 ±6.5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23.5±7.4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w w:val="95"/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proofErr w:type="spellStart"/>
            <w:r w:rsidRPr="00DD61A1">
              <w:rPr>
                <w:sz w:val="24"/>
                <w:szCs w:val="24"/>
              </w:rPr>
              <w:t>Ormeci</w:t>
            </w:r>
            <w:proofErr w:type="spellEnd"/>
            <w:r w:rsidRPr="00DD61A1">
              <w:rPr>
                <w:sz w:val="24"/>
                <w:szCs w:val="24"/>
              </w:rPr>
              <w:t xml:space="preserve"> A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29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(2016)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5.1±5.7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0/120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25.0±8.3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23.0±6.1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22.6±14.8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w w:val="95"/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10.9±5.8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93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Zhou JY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24</w:t>
            </w:r>
            <w:r w:rsidRPr="00DD61A1">
              <w:rPr>
                <w:sz w:val="24"/>
                <w:szCs w:val="24"/>
                <w:vertAlign w:val="superscript"/>
              </w:rPr>
              <w:t xml:space="preserve"> </w:t>
            </w:r>
            <w:r w:rsidRPr="00DD61A1">
              <w:rPr>
                <w:sz w:val="24"/>
                <w:szCs w:val="24"/>
              </w:rPr>
              <w:t>(2017)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22.7±2.5/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23.9±3.0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6.8±1.7/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4.4±1.6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98/95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27.4±8.4/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27.5±8.6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28.0±13.8/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27.5±10.9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30.4±31.2/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33.2±33.9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44.0±4.4/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44.9±5.4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14.4±7.0/</w:t>
            </w:r>
          </w:p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19.5±41.6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Tan YW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6</w:t>
            </w:r>
            <w:r w:rsidRPr="00DD61A1">
              <w:rPr>
                <w:rFonts w:eastAsiaTheme="minorEastAsia" w:hint="eastAsia"/>
                <w:sz w:val="24"/>
                <w:szCs w:val="24"/>
                <w:lang w:eastAsia="zh-CN"/>
              </w:rPr>
              <w:t xml:space="preserve"> </w:t>
            </w:r>
            <w:r w:rsidRPr="00DD61A1">
              <w:rPr>
                <w:sz w:val="24"/>
                <w:szCs w:val="24"/>
              </w:rPr>
              <w:t>(2017)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23.4±2.7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6.8±2.1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42/53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21.4±4.3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22.6±6.8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w w:val="95"/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200.1±60.3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DD61A1">
              <w:rPr>
                <w:sz w:val="24"/>
                <w:szCs w:val="24"/>
              </w:rPr>
              <w:t>Xing YF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26</w:t>
            </w:r>
            <w:r w:rsidRPr="00DD61A1">
              <w:rPr>
                <w:sz w:val="24"/>
                <w:szCs w:val="24"/>
              </w:rPr>
              <w:t xml:space="preserve"> (2018)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22.2±6.0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8.1±1.0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27.3±8.2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25.0±6.6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22.1±10.9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w w:val="95"/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  <w:tr w:rsidR="00BB5116" w:rsidRPr="00DD61A1" w:rsidTr="00BB5116">
        <w:trPr>
          <w:trHeight w:val="64"/>
        </w:trPr>
        <w:tc>
          <w:tcPr>
            <w:tcW w:w="228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rFonts w:eastAsiaTheme="minorEastAsia" w:hint="eastAsia"/>
                <w:sz w:val="24"/>
                <w:szCs w:val="24"/>
                <w:lang w:eastAsia="zh-CN"/>
              </w:rPr>
            </w:pPr>
            <w:proofErr w:type="spellStart"/>
            <w:r w:rsidRPr="00DD61A1">
              <w:rPr>
                <w:sz w:val="24"/>
                <w:szCs w:val="24"/>
              </w:rPr>
              <w:t>Xu</w:t>
            </w:r>
            <w:proofErr w:type="spellEnd"/>
            <w:r w:rsidRPr="00DD61A1">
              <w:rPr>
                <w:sz w:val="24"/>
                <w:szCs w:val="24"/>
              </w:rPr>
              <w:t xml:space="preserve"> ZJ</w:t>
            </w:r>
            <w:r w:rsidRPr="00DD61A1">
              <w:rPr>
                <w:rFonts w:eastAsiaTheme="minorEastAsia" w:hint="eastAsia"/>
                <w:sz w:val="24"/>
                <w:szCs w:val="24"/>
                <w:vertAlign w:val="superscript"/>
                <w:lang w:eastAsia="zh-CN"/>
              </w:rPr>
              <w:t>25</w:t>
            </w:r>
            <w:r w:rsidRPr="00DD61A1">
              <w:rPr>
                <w:sz w:val="24"/>
                <w:szCs w:val="24"/>
                <w:vertAlign w:val="superscript"/>
              </w:rPr>
              <w:t xml:space="preserve"> </w:t>
            </w:r>
            <w:r w:rsidRPr="00DD61A1">
              <w:rPr>
                <w:sz w:val="24"/>
                <w:szCs w:val="24"/>
              </w:rPr>
              <w:t>(2018)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5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8.0±1.0</w:t>
            </w:r>
          </w:p>
        </w:tc>
        <w:tc>
          <w:tcPr>
            <w:tcW w:w="1413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77/32</w:t>
            </w:r>
          </w:p>
        </w:tc>
        <w:tc>
          <w:tcPr>
            <w:tcW w:w="113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29.5±8.8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418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  <w:tc>
          <w:tcPr>
            <w:tcW w:w="1276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w w:val="95"/>
                <w:sz w:val="24"/>
                <w:szCs w:val="24"/>
              </w:rPr>
              <w:t>NA</w:t>
            </w:r>
          </w:p>
        </w:tc>
        <w:tc>
          <w:tcPr>
            <w:tcW w:w="1275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16.3±4.3</w:t>
            </w:r>
          </w:p>
        </w:tc>
        <w:tc>
          <w:tcPr>
            <w:tcW w:w="1259" w:type="dxa"/>
          </w:tcPr>
          <w:p w:rsidR="00DD61A1" w:rsidRPr="00DD61A1" w:rsidRDefault="00DD61A1" w:rsidP="00BB5116">
            <w:pPr>
              <w:pStyle w:val="TableParagraph"/>
              <w:adjustRightInd w:val="0"/>
              <w:snapToGrid w:val="0"/>
              <w:spacing w:line="360" w:lineRule="auto"/>
              <w:ind w:left="0"/>
              <w:rPr>
                <w:sz w:val="24"/>
                <w:szCs w:val="24"/>
              </w:rPr>
            </w:pPr>
            <w:r w:rsidRPr="00DD61A1">
              <w:rPr>
                <w:sz w:val="24"/>
                <w:szCs w:val="24"/>
              </w:rPr>
              <w:t>NA</w:t>
            </w:r>
          </w:p>
        </w:tc>
      </w:tr>
    </w:tbl>
    <w:p w:rsidR="00072841" w:rsidRPr="00DD61A1" w:rsidRDefault="00072841" w:rsidP="00DD61A1">
      <w:pPr>
        <w:rPr>
          <w:rFonts w:ascii="Times New Roman" w:hAnsi="Times New Roman" w:cs="Times New Roman"/>
          <w:sz w:val="24"/>
          <w:szCs w:val="24"/>
        </w:rPr>
      </w:pPr>
    </w:p>
    <w:sectPr w:rsidR="00072841" w:rsidRPr="00DD61A1" w:rsidSect="00DD61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A1"/>
    <w:rsid w:val="00072841"/>
    <w:rsid w:val="00BB5116"/>
    <w:rsid w:val="00D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D61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D61A1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DD61A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D61A1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D61A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DD61A1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har">
    <w:name w:val="正文文本 Char"/>
    <w:basedOn w:val="a0"/>
    <w:link w:val="a3"/>
    <w:uiPriority w:val="1"/>
    <w:rsid w:val="00DD61A1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D61A1"/>
    <w:pPr>
      <w:autoSpaceDE w:val="0"/>
      <w:autoSpaceDN w:val="0"/>
      <w:ind w:left="107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2021-04-10T04:33:00Z</dcterms:created>
  <dcterms:modified xsi:type="dcterms:W3CDTF">2021-04-10T04:52:00Z</dcterms:modified>
</cp:coreProperties>
</file>