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B5" w:rsidRPr="008433B1" w:rsidRDefault="00A22CB5" w:rsidP="008433B1">
      <w:pPr>
        <w:snapToGrid w:val="0"/>
        <w:spacing w:line="480" w:lineRule="auto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33B1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8433B1">
        <w:rPr>
          <w:rFonts w:ascii="Times New Roman" w:hAnsi="Times New Roman" w:cs="Times New Roman"/>
          <w:b/>
          <w:sz w:val="24"/>
          <w:szCs w:val="24"/>
        </w:rPr>
        <w:t xml:space="preserve"> Included studies for this meta-analysis</w:t>
      </w:r>
    </w:p>
    <w:tbl>
      <w:tblPr>
        <w:tblStyle w:val="TableNormal1"/>
        <w:tblW w:w="9089" w:type="dxa"/>
        <w:tblInd w:w="13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8505"/>
      </w:tblGrid>
      <w:tr w:rsidR="00A22CB5" w:rsidRPr="008433B1" w:rsidTr="00BB0186">
        <w:trPr>
          <w:trHeight w:val="31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8433B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b/>
                <w:bCs/>
                <w:sz w:val="24"/>
                <w:szCs w:val="24"/>
              </w:rPr>
            </w:pPr>
            <w:r w:rsidRPr="008433B1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A22CB5" w:rsidRPr="008433B1" w:rsidTr="00BB0186">
        <w:trPr>
          <w:trHeight w:val="937"/>
        </w:trPr>
        <w:tc>
          <w:tcPr>
            <w:tcW w:w="584" w:type="dxa"/>
            <w:tcBorders>
              <w:top w:val="single" w:sz="4" w:space="0" w:color="auto"/>
            </w:tcBorders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22CB5" w:rsidRPr="008433B1" w:rsidRDefault="00A22CB5" w:rsidP="008433B1">
            <w:pPr>
              <w:pStyle w:val="EndNoteBibliography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433B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Lai M, Hyatt BJ, Nasser I, Curry M, Afdhal NH. The clinical significance of persistently normal ALT in chronic hepatitis B infection. J Hepatol 2007;47(6):760-767. doi: 10.1016/j.jhep.2007.07.022</w:t>
            </w:r>
            <w:r w:rsidRPr="008433B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5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22CB5" w:rsidRPr="008433B1" w:rsidRDefault="00A22CB5" w:rsidP="008433B1">
            <w:pPr>
              <w:pStyle w:val="EndNoteBibliography"/>
              <w:snapToGrid w:val="0"/>
              <w:spacing w:line="48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433B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Kumar M, Sarin SK, Hissar S, Pande C, Sakhuja P, Sharma BC, </w:t>
            </w:r>
            <w:r w:rsidRPr="008433B1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Virologic and histologic features of chronic hepatitis B virus-infected asymptomatic patients with persistently normal ALT. Gastroenterology 2008;134(5):1376-1384. doi: 10.1053/j.gastro.2008.02.075</w:t>
            </w:r>
            <w:r w:rsidRPr="008433B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5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Papatheodoridis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GV,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Manesis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EK,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Manolakopoulos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S,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Elefsiniotis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IS,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Goulis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J,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Giannousis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J,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Is there a meaningful serum hepatitis B virus DNA cutoff level for therapeutic decisions in hepatitis B e antigen-negative chronic hepatitis B virus infection?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Hepatology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2008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;48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(5):1451-1459.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10.1002/hep.22518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1248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Nguyen MH, Garcia RT, Trinh HN, Lam KD, Weiss G, Nguyen HA,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Histological disease in Asian-Americans with chronic hepatitis B, high hepatitis B virus DNA, and normal alanine aminotransferase levels. Am J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Gastroenterol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2009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;104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(9):2206-2213.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10.1038/ajg.2009.248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5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 w:right="589"/>
              <w:rPr>
                <w:sz w:val="24"/>
                <w:szCs w:val="24"/>
              </w:rPr>
            </w:pP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Chen EQ, Huang FJ, He LL,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Bai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L, Wang LC, Zhou TY,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Histological changes in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chinese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chronic hepatitis B patients with ALT lower than two times upper limits of normal. Dig Dis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2010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;55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(2):432-437.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10.1007/s10620-009-0724-5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5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Gui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HL, Wang H, Yang YH, Wu YW, Zhou HJ,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Guo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SM,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Significant histopathology in Chinese chronic hepatitis B patients with persistently high-normal alanine aminotransferase. J Viral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Hepat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2010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;17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Suppl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1:44-50.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10.1111/j.1365-2893.2010.01270.x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7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Montazeri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G,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Rahban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Mohamadnejad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Zamani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F,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Hooshyar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Fazlolahi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A,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. Liver histology and HBV DNA levels in chronically HBV infected patients with persistently normal alanine aminotransferase. Arch Iran Med 2010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;13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(3):193-202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1247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Lesmana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CR,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Gani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RA,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Hasan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I,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Simadibrata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Sulaiman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AS,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Pakasi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LS,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. Significant hepatic histopathology in chronic hepatitis B patients with serum ALT less than twice ULN and high HBV-DNA levels in Indonesia. J Dig Dis 2011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;12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(6):476-480.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10.1111/j.1751-2980.2011.00540.x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1247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 w:right="23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S, Ahmad N, Mustafa G,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Shrestha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AK, Khan M. Evaluation of normal or minimally elevated alanine transaminase, age and DNA level in predicting liver histological changes in chronic hepatitis B. Liver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Int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2011;31(6):824-830.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10.1111/j.1478-3231.2011.02491.x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6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Sarin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SK, Kumar M, Lau GK, Abbas Z, Chan HL, Chen CJ,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Asian-Pacific clinical practice guidelines on the management of hepatitis B: a 2015 update.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Hepatol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Int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2016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;10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(1):1-98.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10.1007/s12072-015-9675-4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623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Liao B, Wang Z, Lin S,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Xu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Y, Yi J,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Xu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M,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Significant fibrosis is not rare in Chinese chronic hepatitis B patients with persistent normal ALT.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One 2013;8(10):e78672.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10.1371/journal.pone.0078672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6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 w:right="237"/>
              <w:rPr>
                <w:sz w:val="24"/>
                <w:szCs w:val="24"/>
              </w:rPr>
            </w:pP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Gong X, Yang J, Tang J,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Gu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C, Huang L,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Zheng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Y,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A mechanistic assessment of the discordance between normal serum alanine aminotransferase levels and altered liver histology in chronic hepatitis B.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One 2015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;10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(7):e0134532.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10.1371/journal.pone.0134532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936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Tan Y, Ye Y, Zhou X, Chen L, Wen D. Age as a predictor of significant fibrosis features in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HBeAg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-negative chronic hepatitis B virus infection with persistently normal alanine aminotransferase.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One 2015</w:t>
            </w:r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;10</w:t>
            </w:r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(4):e0123452. </w:t>
            </w:r>
            <w:proofErr w:type="spellStart"/>
            <w:proofErr w:type="gram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proofErr w:type="gram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: 10.1371/journal.pone.0123452</w:t>
            </w:r>
            <w:r w:rsidRPr="008433B1">
              <w:rPr>
                <w:sz w:val="24"/>
                <w:szCs w:val="24"/>
              </w:rPr>
              <w:t>.</w:t>
            </w:r>
          </w:p>
        </w:tc>
      </w:tr>
      <w:tr w:rsidR="00A22CB5" w:rsidRPr="008433B1" w:rsidTr="00BB0186">
        <w:trPr>
          <w:trHeight w:val="311"/>
        </w:trPr>
        <w:tc>
          <w:tcPr>
            <w:tcW w:w="58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A22CB5" w:rsidRPr="008433B1" w:rsidRDefault="00A22CB5" w:rsidP="00BB0186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Wan R, Liu H, Wang X, Wan G, Wang X, Zhou G, </w:t>
            </w:r>
            <w:r w:rsidRPr="008433B1">
              <w:rPr>
                <w:i/>
                <w:color w:val="212121"/>
                <w:sz w:val="24"/>
                <w:szCs w:val="24"/>
                <w:shd w:val="clear" w:color="auto" w:fill="FFFFFF"/>
              </w:rPr>
              <w:t>et al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. Noninvasive predictive models </w:t>
            </w:r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of liver fibrosis in patients with chronic hepatitis B.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Int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J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Clin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>Exp</w:t>
            </w:r>
            <w:proofErr w:type="spellEnd"/>
            <w:r w:rsidRPr="008433B1">
              <w:rPr>
                <w:color w:val="212121"/>
                <w:sz w:val="24"/>
                <w:szCs w:val="24"/>
                <w:shd w:val="clear" w:color="auto" w:fill="FFFFFF"/>
              </w:rPr>
              <w:t xml:space="preserve"> Med 2015;8(1):961-971</w:t>
            </w:r>
            <w:r w:rsidRPr="008433B1">
              <w:rPr>
                <w:sz w:val="24"/>
                <w:szCs w:val="24"/>
              </w:rPr>
              <w:t>.</w:t>
            </w:r>
          </w:p>
        </w:tc>
      </w:tr>
    </w:tbl>
    <w:p w:rsidR="00A22CB5" w:rsidRPr="008433B1" w:rsidRDefault="00A22CB5" w:rsidP="008433B1">
      <w:pPr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A22CB5" w:rsidRPr="008433B1" w:rsidSect="00943781">
          <w:pgSz w:w="11910" w:h="16840"/>
          <w:pgMar w:top="1440" w:right="1440" w:bottom="1440" w:left="1440" w:header="720" w:footer="720" w:gutter="0"/>
          <w:cols w:space="720"/>
        </w:sect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93"/>
      </w:tblGrid>
      <w:tr w:rsidR="00A22CB5" w:rsidRPr="008433B1" w:rsidTr="008B2FFD">
        <w:trPr>
          <w:trHeight w:val="623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with chronic hepatitis B. International Journal of Clinical and Experimental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Medicine, 2015. 8(1): p. 961-971.</w:t>
            </w:r>
          </w:p>
        </w:tc>
      </w:tr>
      <w:tr w:rsidR="00A22CB5" w:rsidRPr="008433B1" w:rsidTr="008B2FFD">
        <w:trPr>
          <w:trHeight w:val="1249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15</w:t>
            </w: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spellStart"/>
            <w:r w:rsidRPr="008433B1">
              <w:rPr>
                <w:sz w:val="24"/>
                <w:szCs w:val="24"/>
              </w:rPr>
              <w:t>Ormeci</w:t>
            </w:r>
            <w:proofErr w:type="spellEnd"/>
            <w:r w:rsidRPr="008433B1">
              <w:rPr>
                <w:sz w:val="24"/>
                <w:szCs w:val="24"/>
              </w:rPr>
              <w:t xml:space="preserve">, A., </w:t>
            </w:r>
            <w:r w:rsidRPr="008433B1">
              <w:rPr>
                <w:i/>
                <w:sz w:val="24"/>
                <w:szCs w:val="24"/>
              </w:rPr>
              <w:t>et al</w:t>
            </w:r>
            <w:r w:rsidRPr="008433B1">
              <w:rPr>
                <w:sz w:val="24"/>
                <w:szCs w:val="24"/>
              </w:rPr>
              <w:t xml:space="preserve">., Predictors of treatment requirement in </w:t>
            </w:r>
            <w:proofErr w:type="spellStart"/>
            <w:r w:rsidRPr="008433B1">
              <w:rPr>
                <w:sz w:val="24"/>
                <w:szCs w:val="24"/>
              </w:rPr>
              <w:t>HBeAg</w:t>
            </w:r>
            <w:proofErr w:type="spellEnd"/>
            <w:r w:rsidRPr="008433B1">
              <w:rPr>
                <w:sz w:val="24"/>
                <w:szCs w:val="24"/>
              </w:rPr>
              <w:t>-negative chronic hepatitis B patients with persistently normal alanine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gramStart"/>
            <w:r w:rsidRPr="008433B1">
              <w:rPr>
                <w:sz w:val="24"/>
                <w:szCs w:val="24"/>
              </w:rPr>
              <w:t>aminotransferase</w:t>
            </w:r>
            <w:proofErr w:type="gramEnd"/>
            <w:r w:rsidRPr="008433B1">
              <w:rPr>
                <w:sz w:val="24"/>
                <w:szCs w:val="24"/>
              </w:rPr>
              <w:t xml:space="preserve"> and high serum HBV DNA levels. International Journal of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Infectious Diseases, 2016. 52: p. 68-73.</w:t>
            </w:r>
          </w:p>
        </w:tc>
      </w:tr>
      <w:tr w:rsidR="00A22CB5" w:rsidRPr="008433B1" w:rsidTr="008B2FFD">
        <w:trPr>
          <w:trHeight w:val="1247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16</w:t>
            </w: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 w:right="124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 xml:space="preserve">Tan, Y.-W., </w:t>
            </w:r>
            <w:r w:rsidRPr="008433B1">
              <w:rPr>
                <w:i/>
                <w:sz w:val="24"/>
                <w:szCs w:val="24"/>
              </w:rPr>
              <w:t>et al</w:t>
            </w:r>
            <w:r w:rsidRPr="008433B1">
              <w:rPr>
                <w:sz w:val="24"/>
                <w:szCs w:val="24"/>
              </w:rPr>
              <w:t>., Diagnostic value of FIB-4, aspartate aminotransferase-to- platelet ratio index and liver stiffness measurement in hepatitis B virus-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gramStart"/>
            <w:r w:rsidRPr="008433B1">
              <w:rPr>
                <w:sz w:val="24"/>
                <w:szCs w:val="24"/>
              </w:rPr>
              <w:t>infected</w:t>
            </w:r>
            <w:proofErr w:type="gramEnd"/>
            <w:r w:rsidRPr="008433B1">
              <w:rPr>
                <w:sz w:val="24"/>
                <w:szCs w:val="24"/>
              </w:rPr>
              <w:t xml:space="preserve"> patients with persistently normal alanine aminotransferase. World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gramStart"/>
            <w:r w:rsidRPr="008433B1">
              <w:rPr>
                <w:sz w:val="24"/>
                <w:szCs w:val="24"/>
              </w:rPr>
              <w:t>journal</w:t>
            </w:r>
            <w:proofErr w:type="gramEnd"/>
            <w:r w:rsidRPr="008433B1">
              <w:rPr>
                <w:sz w:val="24"/>
                <w:szCs w:val="24"/>
              </w:rPr>
              <w:t xml:space="preserve"> of gastroenterology, 2017. 23(31): p. 5746-5754.</w:t>
            </w:r>
          </w:p>
        </w:tc>
      </w:tr>
      <w:tr w:rsidR="00A22CB5" w:rsidRPr="008433B1" w:rsidTr="008B2FFD">
        <w:trPr>
          <w:trHeight w:val="935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17</w:t>
            </w: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 w:right="390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 xml:space="preserve">Zhou, J., </w:t>
            </w:r>
            <w:r w:rsidRPr="008433B1">
              <w:rPr>
                <w:i/>
                <w:sz w:val="24"/>
                <w:szCs w:val="24"/>
              </w:rPr>
              <w:t>et al</w:t>
            </w:r>
            <w:r w:rsidRPr="008433B1">
              <w:rPr>
                <w:sz w:val="24"/>
                <w:szCs w:val="24"/>
              </w:rPr>
              <w:t>., Serum hepatitis B core antibody as a biomarker of hepatic inflammation in chronic hepatitis B patients with normal alanine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gramStart"/>
            <w:r w:rsidRPr="008433B1">
              <w:rPr>
                <w:sz w:val="24"/>
                <w:szCs w:val="24"/>
              </w:rPr>
              <w:t>aminotransferase</w:t>
            </w:r>
            <w:proofErr w:type="gramEnd"/>
            <w:r w:rsidRPr="008433B1">
              <w:rPr>
                <w:sz w:val="24"/>
                <w:szCs w:val="24"/>
              </w:rPr>
              <w:t>. Scientific reports, 2017. 7(1): p. 2747.</w:t>
            </w:r>
          </w:p>
        </w:tc>
      </w:tr>
      <w:tr w:rsidR="00A22CB5" w:rsidRPr="008433B1" w:rsidTr="008B2FFD">
        <w:trPr>
          <w:trHeight w:val="1248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18</w:t>
            </w: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 w:right="107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 xml:space="preserve">Xing, </w:t>
            </w:r>
            <w:r w:rsidRPr="008433B1">
              <w:rPr>
                <w:spacing w:val="-9"/>
                <w:sz w:val="24"/>
                <w:szCs w:val="24"/>
              </w:rPr>
              <w:t xml:space="preserve">Y.-F., </w:t>
            </w:r>
            <w:r w:rsidRPr="008433B1">
              <w:rPr>
                <w:i/>
                <w:sz w:val="24"/>
                <w:szCs w:val="24"/>
              </w:rPr>
              <w:t>et al</w:t>
            </w:r>
            <w:r w:rsidRPr="008433B1">
              <w:rPr>
                <w:sz w:val="24"/>
                <w:szCs w:val="24"/>
              </w:rPr>
              <w:t xml:space="preserve">., Clinical and </w:t>
            </w:r>
            <w:proofErr w:type="spellStart"/>
            <w:r w:rsidRPr="008433B1">
              <w:rPr>
                <w:sz w:val="24"/>
                <w:szCs w:val="24"/>
              </w:rPr>
              <w:t>histopathological</w:t>
            </w:r>
            <w:proofErr w:type="spellEnd"/>
            <w:r w:rsidRPr="008433B1">
              <w:rPr>
                <w:sz w:val="24"/>
                <w:szCs w:val="24"/>
              </w:rPr>
              <w:t xml:space="preserve"> features of chronic hepatitis B virus infected patients with high </w:t>
            </w:r>
            <w:r w:rsidRPr="008433B1">
              <w:rPr>
                <w:spacing w:val="-4"/>
                <w:sz w:val="24"/>
                <w:szCs w:val="24"/>
              </w:rPr>
              <w:t xml:space="preserve">HBV DNA </w:t>
            </w:r>
            <w:r w:rsidRPr="008433B1">
              <w:rPr>
                <w:sz w:val="24"/>
                <w:szCs w:val="24"/>
              </w:rPr>
              <w:t xml:space="preserve">viral load and normal alanine aminotransferase level: A </w:t>
            </w:r>
            <w:proofErr w:type="spellStart"/>
            <w:r w:rsidRPr="008433B1">
              <w:rPr>
                <w:sz w:val="24"/>
                <w:szCs w:val="24"/>
              </w:rPr>
              <w:t>multicentre</w:t>
            </w:r>
            <w:proofErr w:type="spellEnd"/>
            <w:r w:rsidRPr="008433B1">
              <w:rPr>
                <w:sz w:val="24"/>
                <w:szCs w:val="24"/>
              </w:rPr>
              <w:t xml:space="preserve">-based study in China. </w:t>
            </w:r>
            <w:proofErr w:type="spellStart"/>
            <w:r w:rsidRPr="008433B1">
              <w:rPr>
                <w:sz w:val="24"/>
                <w:szCs w:val="24"/>
              </w:rPr>
              <w:t>PloS</w:t>
            </w:r>
            <w:proofErr w:type="spellEnd"/>
            <w:r w:rsidRPr="008433B1">
              <w:rPr>
                <w:sz w:val="24"/>
                <w:szCs w:val="24"/>
              </w:rPr>
              <w:t xml:space="preserve"> one, 2018.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13(9): p. e0203220-e0203220.</w:t>
            </w:r>
          </w:p>
        </w:tc>
      </w:tr>
      <w:tr w:rsidR="00A22CB5" w:rsidRPr="008433B1" w:rsidTr="008B2FFD">
        <w:trPr>
          <w:trHeight w:val="935"/>
        </w:trPr>
        <w:tc>
          <w:tcPr>
            <w:tcW w:w="704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19</w:t>
            </w:r>
          </w:p>
        </w:tc>
        <w:tc>
          <w:tcPr>
            <w:tcW w:w="7593" w:type="dxa"/>
          </w:tcPr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proofErr w:type="spellStart"/>
            <w:r w:rsidRPr="008433B1">
              <w:rPr>
                <w:sz w:val="24"/>
                <w:szCs w:val="24"/>
              </w:rPr>
              <w:t>Xu</w:t>
            </w:r>
            <w:proofErr w:type="spellEnd"/>
            <w:r w:rsidRPr="008433B1">
              <w:rPr>
                <w:sz w:val="24"/>
                <w:szCs w:val="24"/>
              </w:rPr>
              <w:t xml:space="preserve">, Z., </w:t>
            </w:r>
            <w:r w:rsidRPr="008433B1">
              <w:rPr>
                <w:i/>
                <w:sz w:val="24"/>
                <w:szCs w:val="24"/>
              </w:rPr>
              <w:t>et al</w:t>
            </w:r>
            <w:r w:rsidRPr="008433B1">
              <w:rPr>
                <w:sz w:val="24"/>
                <w:szCs w:val="24"/>
              </w:rPr>
              <w:t xml:space="preserve">., Predictive value of serum Golgi protein 73 for prominent hepatic </w:t>
            </w:r>
            <w:proofErr w:type="spellStart"/>
            <w:r w:rsidRPr="008433B1">
              <w:rPr>
                <w:sz w:val="24"/>
                <w:szCs w:val="24"/>
              </w:rPr>
              <w:t>necroinflammation</w:t>
            </w:r>
            <w:proofErr w:type="spellEnd"/>
            <w:r w:rsidRPr="008433B1">
              <w:rPr>
                <w:sz w:val="24"/>
                <w:szCs w:val="24"/>
              </w:rPr>
              <w:t xml:space="preserve"> in chronic HBV infection. Journal of Medical</w:t>
            </w:r>
          </w:p>
          <w:p w:rsidR="00A22CB5" w:rsidRPr="008433B1" w:rsidRDefault="00A22CB5" w:rsidP="008433B1">
            <w:pPr>
              <w:pStyle w:val="TableParagraph"/>
              <w:snapToGrid w:val="0"/>
              <w:spacing w:line="480" w:lineRule="auto"/>
              <w:ind w:left="108"/>
              <w:rPr>
                <w:sz w:val="24"/>
                <w:szCs w:val="24"/>
              </w:rPr>
            </w:pPr>
            <w:r w:rsidRPr="008433B1">
              <w:rPr>
                <w:sz w:val="24"/>
                <w:szCs w:val="24"/>
              </w:rPr>
              <w:t>Virology, 2018. 90(6): p. 1053-1062.</w:t>
            </w:r>
          </w:p>
        </w:tc>
      </w:tr>
    </w:tbl>
    <w:p w:rsidR="00072841" w:rsidRPr="008433B1" w:rsidRDefault="00072841" w:rsidP="008433B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72841" w:rsidRPr="00843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913"/>
    <w:multiLevelType w:val="hybridMultilevel"/>
    <w:tmpl w:val="EC004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B5"/>
    <w:rsid w:val="00072841"/>
    <w:rsid w:val="008433B1"/>
    <w:rsid w:val="00A22CB5"/>
    <w:rsid w:val="00B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22CB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2CB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A22CB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22CB5"/>
    <w:rPr>
      <w:rFonts w:ascii="等线" w:eastAsia="等线" w:hAnsi="等线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22CB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2CB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A22CB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22CB5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2021-04-10T04:07:00Z</dcterms:created>
  <dcterms:modified xsi:type="dcterms:W3CDTF">2021-04-10T04:28:00Z</dcterms:modified>
</cp:coreProperties>
</file>