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DFDF" w14:textId="77777777" w:rsidR="00FE4DEF" w:rsidRDefault="00FE4DEF" w:rsidP="00FE4DEF">
      <w:pPr>
        <w:jc w:val="both"/>
        <w:rPr>
          <w:rFonts w:ascii="Times New Roman" w:eastAsia="Microsoft YaHei" w:hAnsi="Times New Roman" w:cs="Times New Roman"/>
          <w:spacing w:val="10"/>
          <w:kern w:val="0"/>
        </w:rPr>
      </w:pPr>
    </w:p>
    <w:p w14:paraId="3D285DE1" w14:textId="77777777" w:rsidR="00FE4DEF" w:rsidRDefault="00FE4DEF" w:rsidP="00FE4DEF">
      <w:pPr>
        <w:jc w:val="both"/>
        <w:rPr>
          <w:rFonts w:ascii="Times New Roman" w:eastAsia="Microsoft YaHei" w:hAnsi="Times New Roman" w:cs="Times New Roman"/>
          <w:kern w:val="0"/>
        </w:rPr>
      </w:pPr>
      <w:r>
        <w:rPr>
          <w:rFonts w:ascii="Times New Roman" w:eastAsia="Microsoft YaHei" w:hAnsi="Times New Roman" w:cs="Times New Roman"/>
          <w:noProof/>
          <w:kern w:val="0"/>
        </w:rPr>
        <w:drawing>
          <wp:inline distT="0" distB="0" distL="0" distR="0" wp14:anchorId="1A0764C4" wp14:editId="28B1785D">
            <wp:extent cx="4408805" cy="4299585"/>
            <wp:effectExtent l="0" t="0" r="0" b="57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805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661EB" w14:textId="77777777" w:rsidR="00FE4DEF" w:rsidRPr="00B130BB" w:rsidRDefault="00FE4DEF" w:rsidP="00FE4DE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Microsoft YaHei" w:hAnsi="Times New Roman" w:cs="Times New Roman"/>
          <w:b/>
          <w:bCs/>
          <w:spacing w:val="10"/>
          <w:kern w:val="0"/>
        </w:rPr>
        <w:t>Supplementary Fig. 8.</w:t>
      </w:r>
      <w:r w:rsidRPr="00B130BB">
        <w:rPr>
          <w:rFonts w:ascii="Times New Roman" w:eastAsia="Microsoft YaHei" w:hAnsi="Times New Roman" w:cs="Times New Roman"/>
          <w:b/>
          <w:bCs/>
          <w:spacing w:val="10"/>
          <w:kern w:val="0"/>
        </w:rPr>
        <w:t xml:space="preserve"> </w:t>
      </w:r>
      <w:r w:rsidRPr="00B130BB">
        <w:rPr>
          <w:rFonts w:ascii="Times New Roman" w:hAnsi="Times New Roman" w:cs="Times New Roman"/>
          <w:b/>
          <w:bCs/>
        </w:rPr>
        <w:t>Flow cytometry analysis.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B130BB">
        <w:rPr>
          <w:rFonts w:ascii="Times New Roman" w:hAnsi="Times New Roman" w:cs="Times New Roman"/>
        </w:rPr>
        <w:t>Gating strategy for non-parenchymal cells (NPCs) associated with Figure 6D. SAMs were identified as CD45⁺ single cells.</w:t>
      </w:r>
    </w:p>
    <w:p w14:paraId="3EACD928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?¡é¨¨¨ª??o¨²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364"/>
    <w:rsid w:val="00137364"/>
    <w:rsid w:val="004244E6"/>
    <w:rsid w:val="0067415F"/>
    <w:rsid w:val="007741FA"/>
    <w:rsid w:val="00FE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559021-FA54-48F8-96E4-DE362C3A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3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3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3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3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3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3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3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3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3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3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3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3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3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3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3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3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3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2026-08-27T22:56:00Z</dcterms:created>
  <dcterms:modified xsi:type="dcterms:W3CDTF">2026-08-27T22:56:00Z</dcterms:modified>
</cp:coreProperties>
</file>