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AFA" w:rsidRDefault="00AF4C18" w:rsidP="005D7AFA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5D7AFA" w:rsidRDefault="005D7AFA" w:rsidP="005D7AFA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Supplementary Table 2. Newcastle-Ottawa scale score quality assessment of the included cohort studies</w:t>
      </w:r>
    </w:p>
    <w:tbl>
      <w:tblPr>
        <w:tblW w:w="0" w:type="auto"/>
        <w:tblLook w:val="04A0"/>
      </w:tblPr>
      <w:tblGrid>
        <w:gridCol w:w="2855"/>
        <w:gridCol w:w="2822"/>
        <w:gridCol w:w="2859"/>
        <w:gridCol w:w="2824"/>
        <w:gridCol w:w="2810"/>
      </w:tblGrid>
      <w:tr w:rsidR="005D7AFA" w:rsidTr="006A6B91">
        <w:tc>
          <w:tcPr>
            <w:tcW w:w="293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D7AFA" w:rsidRDefault="005D7AFA" w:rsidP="006A6B91">
            <w:pPr>
              <w:spacing w:line="480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Author, year</w:t>
            </w:r>
          </w:p>
        </w:tc>
        <w:tc>
          <w:tcPr>
            <w:tcW w:w="293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Selection (4 points)</w:t>
            </w:r>
          </w:p>
        </w:tc>
        <w:tc>
          <w:tcPr>
            <w:tcW w:w="29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Comparability (2 points)</w:t>
            </w:r>
          </w:p>
        </w:tc>
        <w:tc>
          <w:tcPr>
            <w:tcW w:w="29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Outcome (3 points)</w:t>
            </w:r>
          </w:p>
        </w:tc>
        <w:tc>
          <w:tcPr>
            <w:tcW w:w="29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Score (up to 9 points)</w:t>
            </w:r>
          </w:p>
        </w:tc>
      </w:tr>
      <w:tr w:rsidR="005D7AFA" w:rsidTr="006A6B91">
        <w:tc>
          <w:tcPr>
            <w:tcW w:w="2933" w:type="dxa"/>
            <w:tcBorders>
              <w:top w:val="single" w:sz="8" w:space="0" w:color="auto"/>
            </w:tcBorders>
            <w:vAlign w:val="center"/>
          </w:tcPr>
          <w:p w:rsidR="005D7AFA" w:rsidRDefault="005D7AFA" w:rsidP="005D707F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Simon 2020</w:t>
            </w:r>
            <w:r w:rsidR="005D707F" w:rsidRPr="005D707F">
              <w:rPr>
                <w:rFonts w:ascii="Times New Roman" w:hAnsi="Times New Roman"/>
                <w:sz w:val="24"/>
                <w:vertAlign w:val="superscript"/>
              </w:rPr>
              <w:t>[39]</w:t>
            </w:r>
          </w:p>
        </w:tc>
        <w:tc>
          <w:tcPr>
            <w:tcW w:w="2933" w:type="dxa"/>
            <w:tcBorders>
              <w:top w:val="single" w:sz="8" w:space="0" w:color="auto"/>
            </w:tcBorders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934" w:type="dxa"/>
            <w:tcBorders>
              <w:top w:val="single" w:sz="8" w:space="0" w:color="auto"/>
            </w:tcBorders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934" w:type="dxa"/>
            <w:tcBorders>
              <w:top w:val="single" w:sz="8" w:space="0" w:color="auto"/>
            </w:tcBorders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934" w:type="dxa"/>
            <w:tcBorders>
              <w:top w:val="single" w:sz="8" w:space="0" w:color="auto"/>
            </w:tcBorders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 w:rsidR="005D7AFA" w:rsidTr="006A6B91">
        <w:tc>
          <w:tcPr>
            <w:tcW w:w="2933" w:type="dxa"/>
            <w:vAlign w:val="center"/>
          </w:tcPr>
          <w:p w:rsidR="005D7AFA" w:rsidRDefault="005D7AFA" w:rsidP="006A6B91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Shin 2020</w:t>
            </w:r>
            <w:r w:rsidR="00E830C9" w:rsidRPr="00E830C9">
              <w:rPr>
                <w:rFonts w:ascii="Times New Roman" w:hAnsi="Times New Roman"/>
                <w:sz w:val="24"/>
                <w:vertAlign w:val="superscript"/>
              </w:rPr>
              <w:t>[25]</w:t>
            </w:r>
          </w:p>
        </w:tc>
        <w:tc>
          <w:tcPr>
            <w:tcW w:w="2933" w:type="dxa"/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934" w:type="dxa"/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934" w:type="dxa"/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934" w:type="dxa"/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</w:tr>
      <w:tr w:rsidR="005D7AFA" w:rsidTr="006A6B91">
        <w:tc>
          <w:tcPr>
            <w:tcW w:w="2933" w:type="dxa"/>
            <w:vAlign w:val="center"/>
          </w:tcPr>
          <w:p w:rsidR="005D7AFA" w:rsidRDefault="005D7AFA" w:rsidP="006A6B91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Lee 2020</w:t>
            </w:r>
            <w:r w:rsidR="00E72A40" w:rsidRPr="00C01C45">
              <w:rPr>
                <w:rFonts w:ascii="Times New Roman" w:hAnsi="Times New Roman"/>
                <w:sz w:val="24"/>
                <w:vertAlign w:val="superscript"/>
              </w:rPr>
              <w:t>[18]</w:t>
            </w:r>
          </w:p>
        </w:tc>
        <w:tc>
          <w:tcPr>
            <w:tcW w:w="2933" w:type="dxa"/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934" w:type="dxa"/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934" w:type="dxa"/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934" w:type="dxa"/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</w:tr>
      <w:tr w:rsidR="005D7AFA" w:rsidTr="006A6B91">
        <w:tc>
          <w:tcPr>
            <w:tcW w:w="2933" w:type="dxa"/>
            <w:vAlign w:val="center"/>
          </w:tcPr>
          <w:p w:rsidR="005D7AFA" w:rsidRDefault="005D7AFA" w:rsidP="006A6B91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Tsoi 2019</w:t>
            </w:r>
            <w:r w:rsidR="00E92371" w:rsidRPr="00C01C45">
              <w:rPr>
                <w:rFonts w:ascii="Times New Roman" w:hAnsi="Times New Roman"/>
                <w:sz w:val="24"/>
                <w:vertAlign w:val="superscript"/>
              </w:rPr>
              <w:t>[16]</w:t>
            </w:r>
          </w:p>
        </w:tc>
        <w:tc>
          <w:tcPr>
            <w:tcW w:w="2933" w:type="dxa"/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934" w:type="dxa"/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934" w:type="dxa"/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934" w:type="dxa"/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 w:rsidR="005D7AFA" w:rsidTr="006A6B91">
        <w:tc>
          <w:tcPr>
            <w:tcW w:w="2933" w:type="dxa"/>
            <w:vAlign w:val="center"/>
          </w:tcPr>
          <w:p w:rsidR="005D7AFA" w:rsidRDefault="005D7AFA" w:rsidP="006A6B91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Lee 2019</w:t>
            </w:r>
            <w:r w:rsidR="00C01C45" w:rsidRPr="00C01C45">
              <w:rPr>
                <w:rFonts w:ascii="Times New Roman" w:hAnsi="Times New Roman"/>
                <w:sz w:val="24"/>
                <w:vertAlign w:val="superscript"/>
              </w:rPr>
              <w:t>[19]</w:t>
            </w:r>
          </w:p>
        </w:tc>
        <w:tc>
          <w:tcPr>
            <w:tcW w:w="2933" w:type="dxa"/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934" w:type="dxa"/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934" w:type="dxa"/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934" w:type="dxa"/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</w:tr>
      <w:tr w:rsidR="005D7AFA" w:rsidTr="006A6B91">
        <w:tc>
          <w:tcPr>
            <w:tcW w:w="2933" w:type="dxa"/>
            <w:vAlign w:val="center"/>
          </w:tcPr>
          <w:p w:rsidR="005D7AFA" w:rsidRDefault="005D7AFA" w:rsidP="006A6B91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Du 2019</w:t>
            </w:r>
            <w:r w:rsidR="009F3903" w:rsidRPr="009F3903">
              <w:rPr>
                <w:rFonts w:ascii="Times New Roman" w:hAnsi="Times New Roman"/>
                <w:sz w:val="24"/>
                <w:vertAlign w:val="superscript"/>
              </w:rPr>
              <w:t>[20]</w:t>
            </w:r>
          </w:p>
        </w:tc>
        <w:tc>
          <w:tcPr>
            <w:tcW w:w="2933" w:type="dxa"/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934" w:type="dxa"/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934" w:type="dxa"/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934" w:type="dxa"/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 w:rsidR="005D7AFA" w:rsidTr="006A6B91">
        <w:tc>
          <w:tcPr>
            <w:tcW w:w="2933" w:type="dxa"/>
            <w:vAlign w:val="center"/>
          </w:tcPr>
          <w:p w:rsidR="005D7AFA" w:rsidRDefault="005D7AFA" w:rsidP="006A6B91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Tseng 2018</w:t>
            </w:r>
            <w:r w:rsidR="00FB5BE2" w:rsidRPr="00FB5BE2">
              <w:rPr>
                <w:rFonts w:ascii="Times New Roman" w:hAnsi="Times New Roman"/>
                <w:sz w:val="24"/>
                <w:vertAlign w:val="superscript"/>
              </w:rPr>
              <w:t>[27]</w:t>
            </w:r>
          </w:p>
        </w:tc>
        <w:tc>
          <w:tcPr>
            <w:tcW w:w="2933" w:type="dxa"/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934" w:type="dxa"/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934" w:type="dxa"/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934" w:type="dxa"/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</w:tr>
      <w:tr w:rsidR="005D7AFA" w:rsidTr="006A6B91">
        <w:tc>
          <w:tcPr>
            <w:tcW w:w="2933" w:type="dxa"/>
            <w:vAlign w:val="center"/>
          </w:tcPr>
          <w:p w:rsidR="005D7AFA" w:rsidRDefault="005D7AFA" w:rsidP="006A6B91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Simon 2018</w:t>
            </w:r>
            <w:r w:rsidR="00796F3F" w:rsidRPr="00796F3F">
              <w:rPr>
                <w:rFonts w:ascii="Times New Roman" w:hAnsi="Times New Roman"/>
                <w:sz w:val="24"/>
                <w:vertAlign w:val="superscript"/>
              </w:rPr>
              <w:t>[23]</w:t>
            </w:r>
          </w:p>
        </w:tc>
        <w:tc>
          <w:tcPr>
            <w:tcW w:w="2933" w:type="dxa"/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934" w:type="dxa"/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934" w:type="dxa"/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934" w:type="dxa"/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</w:tr>
      <w:tr w:rsidR="005D7AFA" w:rsidTr="006A6B91">
        <w:tc>
          <w:tcPr>
            <w:tcW w:w="2933" w:type="dxa"/>
            <w:vAlign w:val="center"/>
          </w:tcPr>
          <w:p w:rsidR="005D7AFA" w:rsidRDefault="00136426" w:rsidP="006A6B91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Lin 2018</w:t>
            </w:r>
            <w:r w:rsidR="00EA3E90" w:rsidRPr="00EA3E90">
              <w:rPr>
                <w:rFonts w:ascii="Times New Roman" w:hAnsi="Times New Roman"/>
                <w:sz w:val="24"/>
                <w:vertAlign w:val="superscript"/>
              </w:rPr>
              <w:t>[28]</w:t>
            </w:r>
          </w:p>
        </w:tc>
        <w:tc>
          <w:tcPr>
            <w:tcW w:w="2933" w:type="dxa"/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934" w:type="dxa"/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934" w:type="dxa"/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934" w:type="dxa"/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5D7AFA" w:rsidTr="006A6B91">
        <w:tc>
          <w:tcPr>
            <w:tcW w:w="2933" w:type="dxa"/>
            <w:vAlign w:val="center"/>
          </w:tcPr>
          <w:p w:rsidR="005D7AFA" w:rsidRDefault="00032900" w:rsidP="006A6B91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Hwang 2018</w:t>
            </w:r>
            <w:r w:rsidR="00EA3E90" w:rsidRPr="00EA3E90">
              <w:rPr>
                <w:rFonts w:ascii="Times New Roman" w:hAnsi="Times New Roman"/>
                <w:sz w:val="24"/>
                <w:vertAlign w:val="superscript"/>
              </w:rPr>
              <w:t>[21]</w:t>
            </w:r>
          </w:p>
        </w:tc>
        <w:tc>
          <w:tcPr>
            <w:tcW w:w="2933" w:type="dxa"/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934" w:type="dxa"/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934" w:type="dxa"/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934" w:type="dxa"/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 w:rsidR="005D7AFA" w:rsidTr="006A6B91">
        <w:tc>
          <w:tcPr>
            <w:tcW w:w="2933" w:type="dxa"/>
            <w:vAlign w:val="center"/>
          </w:tcPr>
          <w:p w:rsidR="005D7AFA" w:rsidRDefault="006823A1" w:rsidP="006A6B91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Ho 2018</w:t>
            </w:r>
            <w:r w:rsidR="00EA3E90" w:rsidRPr="00EA3E90">
              <w:rPr>
                <w:rFonts w:ascii="Times New Roman" w:hAnsi="Times New Roman"/>
                <w:sz w:val="24"/>
                <w:vertAlign w:val="superscript"/>
              </w:rPr>
              <w:t>[15]</w:t>
            </w:r>
          </w:p>
        </w:tc>
        <w:tc>
          <w:tcPr>
            <w:tcW w:w="2933" w:type="dxa"/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934" w:type="dxa"/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934" w:type="dxa"/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934" w:type="dxa"/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 w:rsidR="005D7AFA" w:rsidTr="006A6B91">
        <w:tc>
          <w:tcPr>
            <w:tcW w:w="2933" w:type="dxa"/>
            <w:vAlign w:val="center"/>
          </w:tcPr>
          <w:p w:rsidR="005D7AFA" w:rsidRDefault="00311226" w:rsidP="006A6B91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Oh 2017</w:t>
            </w:r>
            <w:r w:rsidR="00EA3E90" w:rsidRPr="00EA3E90">
              <w:rPr>
                <w:rFonts w:ascii="Times New Roman" w:hAnsi="Times New Roman"/>
                <w:sz w:val="24"/>
                <w:vertAlign w:val="superscript"/>
              </w:rPr>
              <w:t>[14]</w:t>
            </w:r>
          </w:p>
        </w:tc>
        <w:tc>
          <w:tcPr>
            <w:tcW w:w="2933" w:type="dxa"/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934" w:type="dxa"/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34" w:type="dxa"/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34" w:type="dxa"/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5D7AFA" w:rsidTr="006A6B91">
        <w:tc>
          <w:tcPr>
            <w:tcW w:w="2933" w:type="dxa"/>
            <w:vAlign w:val="center"/>
          </w:tcPr>
          <w:p w:rsidR="005D7AFA" w:rsidRDefault="00BA0B21" w:rsidP="006A6B91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Lee 2017</w:t>
            </w:r>
            <w:r w:rsidR="00EA3E90" w:rsidRPr="00EA3E90">
              <w:rPr>
                <w:rFonts w:ascii="Times New Roman" w:hAnsi="Times New Roman"/>
                <w:sz w:val="24"/>
                <w:vertAlign w:val="superscript"/>
              </w:rPr>
              <w:t>[30]</w:t>
            </w:r>
          </w:p>
        </w:tc>
        <w:tc>
          <w:tcPr>
            <w:tcW w:w="2933" w:type="dxa"/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934" w:type="dxa"/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934" w:type="dxa"/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934" w:type="dxa"/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 w:rsidR="005D7AFA" w:rsidTr="006A6B91">
        <w:tc>
          <w:tcPr>
            <w:tcW w:w="2933" w:type="dxa"/>
            <w:vAlign w:val="center"/>
          </w:tcPr>
          <w:p w:rsidR="005D7AFA" w:rsidRDefault="009E0EAA" w:rsidP="006A6B91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Lee 2017</w:t>
            </w:r>
            <w:r w:rsidR="00EA3E90" w:rsidRPr="00EA3E90">
              <w:rPr>
                <w:rFonts w:ascii="Times New Roman" w:hAnsi="Times New Roman"/>
                <w:sz w:val="24"/>
                <w:vertAlign w:val="superscript"/>
              </w:rPr>
              <w:t>[24]</w:t>
            </w:r>
          </w:p>
        </w:tc>
        <w:tc>
          <w:tcPr>
            <w:tcW w:w="2933" w:type="dxa"/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934" w:type="dxa"/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934" w:type="dxa"/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934" w:type="dxa"/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 w:rsidR="005D7AFA" w:rsidTr="006A6B91">
        <w:tc>
          <w:tcPr>
            <w:tcW w:w="2933" w:type="dxa"/>
            <w:vAlign w:val="center"/>
          </w:tcPr>
          <w:p w:rsidR="005D7AFA" w:rsidRDefault="00493F8C" w:rsidP="006A6B91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Petrick 2015</w:t>
            </w:r>
            <w:r w:rsidR="00EA3E90" w:rsidRPr="00EA3E90">
              <w:rPr>
                <w:rFonts w:ascii="Times New Roman" w:hAnsi="Times New Roman"/>
                <w:sz w:val="24"/>
                <w:vertAlign w:val="superscript"/>
              </w:rPr>
              <w:t>[22]</w:t>
            </w:r>
          </w:p>
        </w:tc>
        <w:tc>
          <w:tcPr>
            <w:tcW w:w="2933" w:type="dxa"/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934" w:type="dxa"/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934" w:type="dxa"/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934" w:type="dxa"/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 w:rsidR="005D7AFA" w:rsidTr="006A6B91">
        <w:tc>
          <w:tcPr>
            <w:tcW w:w="2933" w:type="dxa"/>
            <w:vAlign w:val="center"/>
          </w:tcPr>
          <w:p w:rsidR="005D7AFA" w:rsidRDefault="005D7AFA" w:rsidP="006A6B91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Sahasrabuddhe 2012</w:t>
            </w:r>
            <w:r w:rsidR="006E70DA" w:rsidRPr="00DC2A37">
              <w:rPr>
                <w:rFonts w:ascii="Times New Roman" w:hAnsi="Times New Roman"/>
                <w:sz w:val="24"/>
                <w:vertAlign w:val="superscript"/>
              </w:rPr>
              <w:t>[33]</w:t>
            </w:r>
          </w:p>
        </w:tc>
        <w:tc>
          <w:tcPr>
            <w:tcW w:w="2933" w:type="dxa"/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934" w:type="dxa"/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934" w:type="dxa"/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934" w:type="dxa"/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 w:rsidR="005D7AFA" w:rsidTr="006A6B91">
        <w:tc>
          <w:tcPr>
            <w:tcW w:w="2933" w:type="dxa"/>
            <w:tcBorders>
              <w:bottom w:val="single" w:sz="8" w:space="0" w:color="auto"/>
            </w:tcBorders>
            <w:vAlign w:val="center"/>
          </w:tcPr>
          <w:p w:rsidR="005D7AFA" w:rsidRDefault="005D7AFA" w:rsidP="006A6B91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Friis 2003</w:t>
            </w:r>
            <w:r w:rsidR="008616AC" w:rsidRPr="008616AC">
              <w:rPr>
                <w:rFonts w:ascii="Times New Roman" w:hAnsi="Times New Roman"/>
                <w:sz w:val="24"/>
                <w:vertAlign w:val="superscript"/>
              </w:rPr>
              <w:t>[35]</w:t>
            </w:r>
          </w:p>
        </w:tc>
        <w:tc>
          <w:tcPr>
            <w:tcW w:w="2933" w:type="dxa"/>
            <w:tcBorders>
              <w:bottom w:val="single" w:sz="8" w:space="0" w:color="auto"/>
            </w:tcBorders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934" w:type="dxa"/>
            <w:tcBorders>
              <w:bottom w:val="single" w:sz="8" w:space="0" w:color="auto"/>
            </w:tcBorders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934" w:type="dxa"/>
            <w:tcBorders>
              <w:bottom w:val="single" w:sz="8" w:space="0" w:color="auto"/>
            </w:tcBorders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934" w:type="dxa"/>
            <w:tcBorders>
              <w:bottom w:val="single" w:sz="8" w:space="0" w:color="auto"/>
            </w:tcBorders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</w:tbl>
    <w:p w:rsidR="007B2580" w:rsidRDefault="007B2580" w:rsidP="005D7AFA">
      <w:pPr>
        <w:spacing w:line="480" w:lineRule="auto"/>
        <w:rPr>
          <w:rFonts w:ascii="Times New Roman" w:hAnsi="Times New Roman"/>
          <w:sz w:val="24"/>
        </w:rPr>
      </w:pPr>
      <w:r w:rsidRPr="007B2580">
        <w:rPr>
          <w:rFonts w:ascii="Times New Roman" w:hAnsi="Times New Roman"/>
          <w:sz w:val="24"/>
          <w:highlight w:val="yellow"/>
        </w:rPr>
        <w:t>References</w:t>
      </w:r>
    </w:p>
    <w:p w:rsidR="007B2580" w:rsidRDefault="007B2580" w:rsidP="007B2580">
      <w:pPr>
        <w:pStyle w:val="Reference"/>
      </w:pPr>
      <w:r>
        <w:t>14.  Lee TY, Hsu YC, Tseng HC, Lin JT, Wu MS, Wu CY. Association of Daily Aspirin Therapy With Hepatocellular Carcinoma Risk in Patients With Chronic Hepatitis C Virus Infection. Clin Gastroenterol Hepatol 2020;18(12):2784-2792.e7. doi: 10.1016/j.cgh.2020.04.036. PMID: 32360983.</w:t>
      </w:r>
    </w:p>
    <w:p w:rsidR="007B2580" w:rsidRDefault="007B2580" w:rsidP="007B2580">
      <w:pPr>
        <w:pStyle w:val="Reference"/>
      </w:pPr>
      <w:r>
        <w:t xml:space="preserve">15.  Lee TY, Hsu YC, Tseng HC, Yu SH, Lin JT, Wu MS, </w:t>
      </w:r>
      <w:r w:rsidRPr="00427C53">
        <w:rPr>
          <w:i/>
        </w:rPr>
        <w:t>et al</w:t>
      </w:r>
      <w:r>
        <w:t>. Association of Daily Aspirin Therapy With Risk of Hepatocellular Carcinoma in Patients With Chronic Hepatitis B. JAMA Intern Med 2019;179(5):633-640. doi: 10.1001/jamainternmed.2018.8342. PMID: 30882847.</w:t>
      </w:r>
    </w:p>
    <w:p w:rsidR="007B2580" w:rsidRDefault="007B2580" w:rsidP="007B2580">
      <w:pPr>
        <w:pStyle w:val="Reference"/>
      </w:pPr>
      <w:r>
        <w:lastRenderedPageBreak/>
        <w:t xml:space="preserve">16.  Du ZQ, Zhao JZ, Dong J, Bi JB, Ren YF, Zhang J, </w:t>
      </w:r>
      <w:r w:rsidRPr="00427C53">
        <w:rPr>
          <w:i/>
        </w:rPr>
        <w:t>et al</w:t>
      </w:r>
      <w:r>
        <w:t>. Effect of low-dose aspirin administration on long-term survival of cirrhotic patients after splenectomy: A retrospective single-center study. World J Gastroenterol 2019;25(28):3798-3807. doi: 10.3748/wjg.v25.i28.3798. PMID: 31391774.</w:t>
      </w:r>
    </w:p>
    <w:p w:rsidR="007B2580" w:rsidRDefault="007B2580" w:rsidP="007B2580">
      <w:pPr>
        <w:pStyle w:val="Reference"/>
      </w:pPr>
      <w:r>
        <w:t xml:space="preserve">18.  Lee M, Chung GE, Lee JH, Oh S, Nam JY, Chang Y, </w:t>
      </w:r>
      <w:r w:rsidRPr="00427C53">
        <w:rPr>
          <w:i/>
        </w:rPr>
        <w:t>et al</w:t>
      </w:r>
      <w:r>
        <w:t>. Antiplatelet therapy and the risk of hepatocellular carcinoma in chronic hepatitis B patients on antiviral treatment. Hepatology 2017;66(5):1556-1569. doi: 10.1002/hep.29318. PMID: 28617992.</w:t>
      </w:r>
    </w:p>
    <w:p w:rsidR="007B2580" w:rsidRDefault="007B2580" w:rsidP="007B2580">
      <w:pPr>
        <w:pStyle w:val="Reference"/>
      </w:pPr>
      <w:r>
        <w:t xml:space="preserve">19.  Petrick JL, Sahasrabuddhe VV, Chan AT, Alavanja MC, Beane-Freeman LE, Buring JE, </w:t>
      </w:r>
      <w:r w:rsidRPr="00427C53">
        <w:rPr>
          <w:i/>
        </w:rPr>
        <w:t>et al</w:t>
      </w:r>
      <w:r>
        <w:t>. NSAID Use and Risk of Hepatocellular Carcinoma and Intrahepatic Cholangiocarcinoma: The Liver Cancer Pooling Project. Cancer Prev Res (Phila) 2015;8(12):1156-1162. doi: 10.1158/1940-6207.Capr-15-0126. PMID: 26391917.</w:t>
      </w:r>
    </w:p>
    <w:p w:rsidR="007B2580" w:rsidRDefault="007B2580" w:rsidP="007B2580">
      <w:pPr>
        <w:pStyle w:val="Reference"/>
      </w:pPr>
      <w:r>
        <w:t xml:space="preserve">20.  Simon TG, Ma Y, Ludvigsson JF, Chong DQ, Giovannucci EL, Fuchs CS, </w:t>
      </w:r>
      <w:r w:rsidRPr="00427C53">
        <w:rPr>
          <w:i/>
        </w:rPr>
        <w:t>et al</w:t>
      </w:r>
      <w:r>
        <w:t>. Association Between Aspirin Use and Risk of Hepatocellular Carcinoma. JAMA Oncol 2018;4(12):1683-1690. doi: 10.1001/jamaoncol.2018.4154. PMID: 30286235.</w:t>
      </w:r>
    </w:p>
    <w:p w:rsidR="007B2580" w:rsidRDefault="007B2580" w:rsidP="007B2580">
      <w:pPr>
        <w:pStyle w:val="Reference"/>
      </w:pPr>
      <w:r>
        <w:t xml:space="preserve">21.  Lee M, Chung GE, Lee JH, Oh S, Nam JY, Chang Y, </w:t>
      </w:r>
      <w:r w:rsidRPr="00427C53">
        <w:rPr>
          <w:i/>
        </w:rPr>
        <w:t>et al</w:t>
      </w:r>
      <w:r>
        <w:t>. Antiplatelet Therapy and the Risk of Hepatocellular Carcinoma in Chronic Hepatitis B Patients on Antiviral Treatment. Hepatology 2017;66(5):1556-1569. doi: 10.1002/hep.29318. PMID: 28617992.</w:t>
      </w:r>
    </w:p>
    <w:p w:rsidR="007B2580" w:rsidRDefault="007B2580" w:rsidP="007B2580">
      <w:pPr>
        <w:pStyle w:val="Reference"/>
      </w:pPr>
      <w:r>
        <w:t>22.  García Rodríguez LA, Martín-Pérez M, Hennekens CH, Rothwell PM, Lanas A. Bleeding Risk with Long-Term Low-Dose Aspirin: A Systematic Review of Observational Studies. PloS One 2016;11(8):e0160046. doi: 10.1371/journal.pone.0160046. PMID: 27490468.</w:t>
      </w:r>
    </w:p>
    <w:p w:rsidR="007B2580" w:rsidRDefault="007B2580" w:rsidP="007B2580">
      <w:pPr>
        <w:pStyle w:val="Reference"/>
      </w:pPr>
      <w:r>
        <w:t>23.  Whitlock EP, Burda BU, Williams SB, Guirguis-Blake JM, Evans CV. Bleeding Risks With Aspirin Use for Primary Prevention in Adults: A Systematic Review for the U.S. Preventive Services Task Force. Ann Intern Med 2016;164(12):826-835. doi: 10.7326/m15-2112. PMID: 27064261.</w:t>
      </w:r>
    </w:p>
    <w:p w:rsidR="007B2580" w:rsidRDefault="007B2580" w:rsidP="007B2580">
      <w:pPr>
        <w:pStyle w:val="Reference"/>
      </w:pPr>
      <w:r>
        <w:t xml:space="preserve">24.  Tsukuma H, Hiyama T, Tanaka S, Nakao M, Yabuuchi T, Kitamura T, </w:t>
      </w:r>
      <w:r w:rsidRPr="00427C53">
        <w:rPr>
          <w:i/>
        </w:rPr>
        <w:t>et al</w:t>
      </w:r>
      <w:r>
        <w:t>. Risk factors for hepatocellular carcinoma among patients with chronic liver disease. N Engl J Med 1993;328(25):1797-1801. doi: 10.1056/nejm199306243282501. PMID: 7684822.</w:t>
      </w:r>
    </w:p>
    <w:p w:rsidR="007B2580" w:rsidRDefault="007B2580" w:rsidP="007B2580">
      <w:pPr>
        <w:pStyle w:val="Reference"/>
      </w:pPr>
      <w:r>
        <w:t xml:space="preserve">25.  Velazquez RF, Rodriguez M, Navascues CA, Linares A, Perez R, Sotorrios NG, </w:t>
      </w:r>
      <w:r w:rsidRPr="00427C53">
        <w:rPr>
          <w:i/>
        </w:rPr>
        <w:t>et al</w:t>
      </w:r>
      <w:r>
        <w:t>. Prospective analysis of risk factors for hepatocellular carcinoma in patients with liver cirrhosis. Hepatology 2003;37(3):520-527. doi: 10.1053/jhep.2003.50093. PMID: 12601348.</w:t>
      </w:r>
    </w:p>
    <w:p w:rsidR="007B2580" w:rsidRDefault="007B2580" w:rsidP="007B2580">
      <w:pPr>
        <w:pStyle w:val="Reference"/>
      </w:pPr>
    </w:p>
    <w:p w:rsidR="007B2580" w:rsidRDefault="007B2580" w:rsidP="007B2580">
      <w:pPr>
        <w:pStyle w:val="Reference"/>
      </w:pPr>
      <w:r>
        <w:t>27.  Tseng CH. Metformin and risk of hepatocellular carcinoma in patients with type 2 diabetes. Liver Int 2018;38(11):2018-2027. doi: 10.1111/liv.13872. PMID: 29956875.</w:t>
      </w:r>
    </w:p>
    <w:p w:rsidR="007B2580" w:rsidRDefault="007B2580" w:rsidP="007B2580">
      <w:pPr>
        <w:pStyle w:val="Reference"/>
      </w:pPr>
      <w:r>
        <w:t xml:space="preserve">28.  Lin YS, Yeh CC, Huang SF, Chou YS, Kuo LT, Sung FC, </w:t>
      </w:r>
      <w:r w:rsidRPr="00427C53">
        <w:rPr>
          <w:i/>
        </w:rPr>
        <w:t>et al</w:t>
      </w:r>
      <w:r>
        <w:t>. Aspirin associated with risk reduction of secondary primary cancer for patients with head and neck cancer: A population-based analysis. PloS One 2018;13(8):e0199014. doi: 10.1371/journal.pone.0199014. PMID: 30133455.</w:t>
      </w:r>
    </w:p>
    <w:p w:rsidR="007B2580" w:rsidRDefault="007B2580" w:rsidP="007B2580">
      <w:pPr>
        <w:pStyle w:val="Reference"/>
      </w:pPr>
      <w:r>
        <w:lastRenderedPageBreak/>
        <w:t>30.  Lee TY, Wu JC, Yu SH, Lin JT, Wu MS, Wu CY. The occurrence of hepatocellular carcinoma in different risk stratifications of clinically noncirrhotic nonalcoholic fatty liver disease. Int J Cancer 2017;141(7):1307-1314. doi: 10.1002/ijc.30784. PMID: 28509327.</w:t>
      </w:r>
    </w:p>
    <w:p w:rsidR="007B2580" w:rsidRDefault="007B2580" w:rsidP="007B2580">
      <w:pPr>
        <w:pStyle w:val="Reference"/>
      </w:pPr>
      <w:r>
        <w:t xml:space="preserve">33.  Sahasrabuddhe VV, Gunja MZ, Graubard BI, Trabert B, Schwartz LM, Park Y, </w:t>
      </w:r>
      <w:r w:rsidRPr="00427C53">
        <w:rPr>
          <w:i/>
        </w:rPr>
        <w:t>et al</w:t>
      </w:r>
      <w:r>
        <w:t>. Nonsteroidal anti-inflammatory drug use, chronic liver disease, and hepatocellular carcinoma. J Natl Cancer Inst 2012;104(23):1808-1814. doi: 10.1093/jnci/djs452. PMID: 23197492.</w:t>
      </w:r>
    </w:p>
    <w:p w:rsidR="007B2580" w:rsidRDefault="007B2580" w:rsidP="007B2580">
      <w:pPr>
        <w:pStyle w:val="Reference"/>
      </w:pPr>
      <w:r>
        <w:t>35.  Friis S, Sørensen HT, McLaughlin JK, Johnsen SP, Blot WJ, Olsen JH. A population-based cohort study of the risk of colorectal and other cancers among users of low-dose aspirin. Br J Cancer 2003;88(5):684-688. doi: 10.1038/sj.bjc.6600760. PMID: 12618874.</w:t>
      </w:r>
    </w:p>
    <w:p w:rsidR="007B2580" w:rsidRDefault="007B2580" w:rsidP="007B2580">
      <w:pPr>
        <w:pStyle w:val="Reference"/>
      </w:pPr>
      <w:r>
        <w:t>39.  Simon TG, Duberg AS, Aleman S, Chung RT, Chan AT, Ludvigsson JF. Association of Aspirin with Hepatocellular Carcinoma and Liver-Related Mortality. N Engl J Med 2020;382(11):1018-1028. doi: 10.1056/NEJMoa1912035. PMID: 32160663.</w:t>
      </w:r>
    </w:p>
    <w:sectPr w:rsidR="007B2580" w:rsidSect="00047B1C">
      <w:pgSz w:w="16834" w:h="11894" w:orient="landscape"/>
      <w:pgMar w:top="1440" w:right="1440" w:bottom="1440" w:left="1440" w:header="850" w:footer="994" w:gutter="0"/>
      <w:cols w:space="720"/>
      <w:docGrid w:type="line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5D7AFA"/>
    <w:rsid w:val="00032900"/>
    <w:rsid w:val="00136426"/>
    <w:rsid w:val="00155E05"/>
    <w:rsid w:val="00176922"/>
    <w:rsid w:val="002D2EA2"/>
    <w:rsid w:val="00311226"/>
    <w:rsid w:val="00321260"/>
    <w:rsid w:val="00406DCB"/>
    <w:rsid w:val="00493F8C"/>
    <w:rsid w:val="005521DF"/>
    <w:rsid w:val="00571D70"/>
    <w:rsid w:val="005D707F"/>
    <w:rsid w:val="005D7AFA"/>
    <w:rsid w:val="006823A1"/>
    <w:rsid w:val="006C3E0D"/>
    <w:rsid w:val="006E70DA"/>
    <w:rsid w:val="00796F3F"/>
    <w:rsid w:val="007B2580"/>
    <w:rsid w:val="008616AC"/>
    <w:rsid w:val="00902BFD"/>
    <w:rsid w:val="00913156"/>
    <w:rsid w:val="0092284A"/>
    <w:rsid w:val="009E0EAA"/>
    <w:rsid w:val="009F3903"/>
    <w:rsid w:val="00AF4C18"/>
    <w:rsid w:val="00BA0B21"/>
    <w:rsid w:val="00C01C45"/>
    <w:rsid w:val="00DC2A37"/>
    <w:rsid w:val="00DE0E77"/>
    <w:rsid w:val="00E25F04"/>
    <w:rsid w:val="00E72A40"/>
    <w:rsid w:val="00E830C9"/>
    <w:rsid w:val="00E92371"/>
    <w:rsid w:val="00EA3E90"/>
    <w:rsid w:val="00FB5BE2"/>
    <w:rsid w:val="00FE2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">
    <w:name w:val="Reference"/>
    <w:rsid w:val="00DE0E77"/>
    <w:pPr>
      <w:spacing w:after="0" w:line="240" w:lineRule="auto"/>
      <w:ind w:left="357" w:hanging="357"/>
    </w:pPr>
    <w:rPr>
      <w:rFonts w:ascii="Times New Roman" w:eastAsia="宋体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747</Words>
  <Characters>4259</Characters>
  <Application>Microsoft Office Word</Application>
  <DocSecurity>0</DocSecurity>
  <Lines>35</Lines>
  <Paragraphs>9</Paragraphs>
  <ScaleCrop>false</ScaleCrop>
  <Company/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34</cp:revision>
  <dcterms:created xsi:type="dcterms:W3CDTF">2022-01-14T00:46:00Z</dcterms:created>
  <dcterms:modified xsi:type="dcterms:W3CDTF">2022-01-14T01:52:00Z</dcterms:modified>
</cp:coreProperties>
</file>