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F64D" w14:textId="77777777" w:rsidR="00E62A92" w:rsidRPr="002A49AA" w:rsidRDefault="00E62A92" w:rsidP="00E62A92">
      <w:pPr>
        <w:spacing w:line="360" w:lineRule="auto"/>
        <w:rPr>
          <w:rFonts w:ascii="Times New Roman" w:eastAsia="SimSun" w:hAnsi="Times New Roman" w:cs="Times New Roman"/>
        </w:rPr>
      </w:pPr>
      <w:r w:rsidRPr="002A49AA">
        <w:rPr>
          <w:rFonts w:ascii="Times New Roman" w:eastAsia="Times New Roman" w:hAnsi="Times New Roman" w:cs="Times New Roman"/>
          <w:b/>
          <w:bCs/>
        </w:rPr>
        <w:t xml:space="preserve">Supplementary Table </w:t>
      </w:r>
      <w:r w:rsidRPr="002A49AA">
        <w:rPr>
          <w:rFonts w:ascii="Times New Roman" w:hAnsi="Times New Roman" w:cs="Times New Roman"/>
          <w:b/>
          <w:bCs/>
        </w:rPr>
        <w:t>4</w:t>
      </w:r>
      <w:r w:rsidRPr="002A49AA">
        <w:rPr>
          <w:rFonts w:ascii="Times New Roman" w:eastAsia="Times New Roman" w:hAnsi="Times New Roman" w:cs="Times New Roman"/>
          <w:b/>
          <w:bCs/>
        </w:rPr>
        <w:t>.</w:t>
      </w:r>
      <w:r w:rsidRPr="002A49AA">
        <w:rPr>
          <w:rFonts w:ascii="Times New Roman" w:eastAsia="Times New Roman" w:hAnsi="Times New Roman" w:cs="Times New Roman"/>
        </w:rPr>
        <w:t xml:space="preserve"> </w:t>
      </w:r>
      <w:r w:rsidRPr="002A49AA">
        <w:rPr>
          <w:rFonts w:ascii="Times New Roman" w:eastAsia="Times New Roman" w:hAnsi="Times New Roman" w:cs="Times New Roman"/>
          <w:b/>
          <w:bCs/>
        </w:rPr>
        <w:t>MCL clustering analysis</w:t>
      </w:r>
    </w:p>
    <w:tbl>
      <w:tblPr>
        <w:tblStyle w:val="TableGrid"/>
        <w:tblW w:w="4657" w:type="pct"/>
        <w:tblBorders>
          <w:top w:val="single" w:sz="12" w:space="0" w:color="000000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5168"/>
      </w:tblGrid>
      <w:tr w:rsidR="00E62A92" w:rsidRPr="002A49AA" w14:paraId="7418B305" w14:textId="77777777" w:rsidTr="00273849">
        <w:trPr>
          <w:trHeight w:val="541"/>
        </w:trPr>
        <w:tc>
          <w:tcPr>
            <w:tcW w:w="2036" w:type="pct"/>
            <w:tcBorders>
              <w:bottom w:val="single" w:sz="6" w:space="0" w:color="000000"/>
            </w:tcBorders>
            <w:noWrap/>
            <w:vAlign w:val="center"/>
          </w:tcPr>
          <w:p w14:paraId="42BCD25F" w14:textId="77777777" w:rsidR="00E62A92" w:rsidRPr="002A49AA" w:rsidRDefault="00E62A92" w:rsidP="00273849">
            <w:pPr>
              <w:spacing w:line="360" w:lineRule="auto"/>
              <w:textAlignment w:val="center"/>
              <w:rPr>
                <w:b/>
                <w:bCs/>
                <w:color w:val="000000"/>
                <w:szCs w:val="21"/>
                <w:lang w:bidi="ar"/>
              </w:rPr>
            </w:pPr>
            <w:r w:rsidRPr="002A49AA">
              <w:rPr>
                <w:b/>
                <w:bCs/>
                <w:color w:val="000000"/>
                <w:szCs w:val="21"/>
                <w:lang w:bidi="ar"/>
              </w:rPr>
              <w:t>Gene count</w:t>
            </w:r>
          </w:p>
        </w:tc>
        <w:tc>
          <w:tcPr>
            <w:tcW w:w="2964" w:type="pct"/>
            <w:tcBorders>
              <w:bottom w:val="single" w:sz="6" w:space="0" w:color="000000"/>
            </w:tcBorders>
            <w:noWrap/>
            <w:vAlign w:val="center"/>
          </w:tcPr>
          <w:p w14:paraId="60DF5DA7" w14:textId="77777777" w:rsidR="00E62A92" w:rsidRPr="002A49AA" w:rsidRDefault="00E62A92" w:rsidP="00273849">
            <w:pPr>
              <w:spacing w:line="360" w:lineRule="auto"/>
              <w:textAlignment w:val="center"/>
              <w:rPr>
                <w:b/>
                <w:bCs/>
                <w:color w:val="000000"/>
                <w:szCs w:val="21"/>
                <w:lang w:bidi="ar"/>
              </w:rPr>
            </w:pPr>
            <w:r w:rsidRPr="002A49AA">
              <w:rPr>
                <w:b/>
                <w:bCs/>
                <w:color w:val="000000"/>
                <w:szCs w:val="21"/>
                <w:lang w:bidi="ar"/>
              </w:rPr>
              <w:t>Primary description</w:t>
            </w:r>
          </w:p>
        </w:tc>
      </w:tr>
      <w:tr w:rsidR="00E62A92" w:rsidRPr="002A49AA" w14:paraId="501AC4D6" w14:textId="77777777" w:rsidTr="00273849">
        <w:trPr>
          <w:trHeight w:val="518"/>
        </w:trPr>
        <w:tc>
          <w:tcPr>
            <w:tcW w:w="2036" w:type="pct"/>
            <w:tcBorders>
              <w:top w:val="single" w:sz="6" w:space="0" w:color="000000"/>
              <w:tl2br w:val="nil"/>
              <w:tr2bl w:val="nil"/>
            </w:tcBorders>
            <w:noWrap/>
            <w:vAlign w:val="center"/>
          </w:tcPr>
          <w:p w14:paraId="7298C179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72</w:t>
            </w:r>
          </w:p>
        </w:tc>
        <w:tc>
          <w:tcPr>
            <w:tcW w:w="2964" w:type="pct"/>
            <w:tcBorders>
              <w:top w:val="single" w:sz="6" w:space="0" w:color="000000"/>
              <w:tl2br w:val="nil"/>
              <w:tr2bl w:val="nil"/>
            </w:tcBorders>
            <w:noWrap/>
            <w:vAlign w:val="center"/>
          </w:tcPr>
          <w:p w14:paraId="69432622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T cell differentiation</w:t>
            </w:r>
          </w:p>
        </w:tc>
      </w:tr>
      <w:tr w:rsidR="00E62A92" w:rsidRPr="002A49AA" w14:paraId="4DB7B121" w14:textId="77777777" w:rsidTr="00273849">
        <w:trPr>
          <w:trHeight w:val="494"/>
        </w:trPr>
        <w:tc>
          <w:tcPr>
            <w:tcW w:w="2036" w:type="pct"/>
            <w:tcBorders>
              <w:tl2br w:val="nil"/>
              <w:tr2bl w:val="nil"/>
            </w:tcBorders>
            <w:noWrap/>
            <w:vAlign w:val="center"/>
          </w:tcPr>
          <w:p w14:paraId="2DFE2175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23</w:t>
            </w:r>
          </w:p>
        </w:tc>
        <w:tc>
          <w:tcPr>
            <w:tcW w:w="2964" w:type="pct"/>
            <w:tcBorders>
              <w:tl2br w:val="nil"/>
              <w:tr2bl w:val="nil"/>
            </w:tcBorders>
            <w:noWrap/>
            <w:vAlign w:val="center"/>
          </w:tcPr>
          <w:p w14:paraId="09564592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Specific granule lumen</w:t>
            </w:r>
          </w:p>
        </w:tc>
      </w:tr>
      <w:tr w:rsidR="00E62A92" w:rsidRPr="002A49AA" w14:paraId="6F13269B" w14:textId="77777777" w:rsidTr="00273849">
        <w:trPr>
          <w:trHeight w:val="494"/>
        </w:trPr>
        <w:tc>
          <w:tcPr>
            <w:tcW w:w="2036" w:type="pct"/>
            <w:tcBorders>
              <w:tl2br w:val="nil"/>
              <w:tr2bl w:val="nil"/>
            </w:tcBorders>
            <w:noWrap/>
            <w:vAlign w:val="center"/>
          </w:tcPr>
          <w:p w14:paraId="1B131695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2964" w:type="pct"/>
            <w:tcBorders>
              <w:tl2br w:val="nil"/>
              <w:tr2bl w:val="nil"/>
            </w:tcBorders>
            <w:noWrap/>
            <w:vAlign w:val="center"/>
          </w:tcPr>
          <w:p w14:paraId="46561291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Fc receptor signaling pathway</w:t>
            </w:r>
          </w:p>
        </w:tc>
      </w:tr>
      <w:tr w:rsidR="00E62A92" w:rsidRPr="002A49AA" w14:paraId="2C6789D2" w14:textId="77777777" w:rsidTr="00273849">
        <w:trPr>
          <w:trHeight w:val="494"/>
        </w:trPr>
        <w:tc>
          <w:tcPr>
            <w:tcW w:w="2036" w:type="pct"/>
            <w:tcBorders>
              <w:tl2br w:val="nil"/>
              <w:tr2bl w:val="nil"/>
            </w:tcBorders>
            <w:noWrap/>
            <w:vAlign w:val="center"/>
          </w:tcPr>
          <w:p w14:paraId="4CBCF1A8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8</w:t>
            </w:r>
          </w:p>
        </w:tc>
        <w:tc>
          <w:tcPr>
            <w:tcW w:w="2964" w:type="pct"/>
            <w:tcBorders>
              <w:tl2br w:val="nil"/>
              <w:tr2bl w:val="nil"/>
            </w:tcBorders>
            <w:noWrap/>
            <w:vAlign w:val="center"/>
          </w:tcPr>
          <w:p w14:paraId="078FA2DC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Prostaglandin receptor activity</w:t>
            </w:r>
          </w:p>
        </w:tc>
      </w:tr>
      <w:tr w:rsidR="00E62A92" w:rsidRPr="002A49AA" w14:paraId="1213028F" w14:textId="77777777" w:rsidTr="00273849">
        <w:trPr>
          <w:trHeight w:val="494"/>
        </w:trPr>
        <w:tc>
          <w:tcPr>
            <w:tcW w:w="2036" w:type="pct"/>
            <w:tcBorders>
              <w:tl2br w:val="nil"/>
              <w:tr2bl w:val="nil"/>
            </w:tcBorders>
            <w:noWrap/>
            <w:vAlign w:val="center"/>
          </w:tcPr>
          <w:p w14:paraId="1B1F0419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7</w:t>
            </w:r>
          </w:p>
        </w:tc>
        <w:tc>
          <w:tcPr>
            <w:tcW w:w="2964" w:type="pct"/>
            <w:tcBorders>
              <w:tl2br w:val="nil"/>
              <w:tr2bl w:val="nil"/>
            </w:tcBorders>
            <w:noWrap/>
            <w:vAlign w:val="center"/>
          </w:tcPr>
          <w:p w14:paraId="0FECFF83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Inflammasome complex</w:t>
            </w:r>
          </w:p>
        </w:tc>
      </w:tr>
      <w:tr w:rsidR="00E62A92" w:rsidRPr="002A49AA" w14:paraId="12183866" w14:textId="77777777" w:rsidTr="00273849">
        <w:trPr>
          <w:trHeight w:val="541"/>
        </w:trPr>
        <w:tc>
          <w:tcPr>
            <w:tcW w:w="2036" w:type="pct"/>
            <w:tcBorders>
              <w:tl2br w:val="nil"/>
              <w:tr2bl w:val="nil"/>
            </w:tcBorders>
            <w:noWrap/>
            <w:vAlign w:val="center"/>
          </w:tcPr>
          <w:p w14:paraId="7E55E3BD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6</w:t>
            </w:r>
          </w:p>
        </w:tc>
        <w:tc>
          <w:tcPr>
            <w:tcW w:w="2964" w:type="pct"/>
            <w:tcBorders>
              <w:tl2br w:val="nil"/>
              <w:tr2bl w:val="nil"/>
            </w:tcBorders>
            <w:noWrap/>
            <w:vAlign w:val="center"/>
          </w:tcPr>
          <w:p w14:paraId="400EC7EA" w14:textId="77777777" w:rsidR="00E62A92" w:rsidRPr="002A49AA" w:rsidRDefault="00E62A92" w:rsidP="00273849">
            <w:pPr>
              <w:spacing w:line="360" w:lineRule="auto"/>
              <w:textAlignment w:val="center"/>
              <w:rPr>
                <w:color w:val="000000"/>
                <w:szCs w:val="21"/>
                <w:lang w:bidi="ar"/>
              </w:rPr>
            </w:pPr>
            <w:r w:rsidRPr="002A49AA">
              <w:rPr>
                <w:color w:val="000000"/>
                <w:szCs w:val="21"/>
                <w:lang w:bidi="ar"/>
              </w:rPr>
              <w:t>ERK/MAPK targets</w:t>
            </w:r>
          </w:p>
        </w:tc>
      </w:tr>
    </w:tbl>
    <w:p w14:paraId="4638531B" w14:textId="77777777" w:rsidR="00E62A92" w:rsidRPr="002A49AA" w:rsidRDefault="00E62A92" w:rsidP="00E62A92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ERK, extracellular signal-regulated kinase; Fc, fragment crystallizable; MAPK, mitogen-activated protein kinase; MCL, Markov cluster algorithm.</w:t>
      </w:r>
    </w:p>
    <w:p w14:paraId="513195FE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38"/>
    <w:rsid w:val="004244E6"/>
    <w:rsid w:val="0051684E"/>
    <w:rsid w:val="00531038"/>
    <w:rsid w:val="0067415F"/>
    <w:rsid w:val="00E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7C809-1EA3-4600-9347-585C57E4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0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0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0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0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03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E62A9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2026-06-26T07:56:00Z</dcterms:created>
  <dcterms:modified xsi:type="dcterms:W3CDTF">2026-06-26T07:56:00Z</dcterms:modified>
</cp:coreProperties>
</file>