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14" w:rsidRPr="00D04C8A" w:rsidRDefault="007D1A14" w:rsidP="007D1A14">
      <w:pPr>
        <w:rPr>
          <w:rFonts w:ascii="Times New Roman" w:hAnsi="Times New Roman" w:cs="Times New Roman"/>
          <w:b/>
          <w:sz w:val="18"/>
          <w:szCs w:val="18"/>
        </w:rPr>
      </w:pPr>
      <w:r w:rsidRPr="00E64F6A">
        <w:rPr>
          <w:rFonts w:ascii="Times New Roman" w:hAnsi="Times New Roman" w:cs="Times New Roman"/>
          <w:b/>
          <w:sz w:val="18"/>
          <w:szCs w:val="18"/>
        </w:rPr>
        <w:t xml:space="preserve">Supplementary </w:t>
      </w:r>
      <w:r w:rsidRPr="00D04C8A">
        <w:rPr>
          <w:rFonts w:ascii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D04C8A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C</w:t>
      </w:r>
      <w:r w:rsidRPr="00D04C8A">
        <w:rPr>
          <w:rFonts w:ascii="Times New Roman" w:hAnsi="Times New Roman" w:cs="Times New Roman"/>
          <w:b/>
          <w:sz w:val="18"/>
          <w:szCs w:val="18"/>
        </w:rPr>
        <w:t xml:space="preserve">linical </w:t>
      </w:r>
      <w:r>
        <w:rPr>
          <w:rFonts w:ascii="Times New Roman" w:hAnsi="Times New Roman" w:cs="Times New Roman"/>
          <w:b/>
          <w:sz w:val="18"/>
          <w:szCs w:val="18"/>
        </w:rPr>
        <w:t>characteristics of</w:t>
      </w:r>
      <w:r w:rsidRPr="00D04C8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MAFLD defined by </w:t>
      </w:r>
      <w:r w:rsidRPr="00D04C8A">
        <w:rPr>
          <w:rFonts w:ascii="Times New Roman" w:hAnsi="Times New Roman" w:cs="Times New Roman"/>
          <w:b/>
          <w:sz w:val="18"/>
          <w:szCs w:val="18"/>
        </w:rPr>
        <w:t>different criteria</w:t>
      </w:r>
    </w:p>
    <w:tbl>
      <w:tblPr>
        <w:tblW w:w="5000" w:type="pct"/>
        <w:jc w:val="center"/>
        <w:tblLook w:val="04A0"/>
      </w:tblPr>
      <w:tblGrid>
        <w:gridCol w:w="1317"/>
        <w:gridCol w:w="975"/>
        <w:gridCol w:w="975"/>
        <w:gridCol w:w="975"/>
        <w:gridCol w:w="928"/>
        <w:gridCol w:w="928"/>
        <w:gridCol w:w="928"/>
        <w:gridCol w:w="915"/>
        <w:gridCol w:w="915"/>
      </w:tblGrid>
      <w:tr w:rsidR="007D1A14" w:rsidRPr="00F86451" w:rsidTr="009222E8">
        <w:trPr>
          <w:trHeight w:val="2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NAFLD</w:t>
            </w: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F86451">
              <w:rPr>
                <w:rFonts w:ascii="Times New Roman" w:eastAsia="等线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</w:rPr>
              <w:t>a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for with 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sym w:font="Symbol" w:char="F0B3"/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3 vs.</w:t>
            </w:r>
          </w:p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sym w:font="Symbol" w:char="F0B3"/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2 metabolic abnormalities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F86451">
              <w:rPr>
                <w:rFonts w:ascii="Times New Roman" w:eastAsia="等线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</w:rPr>
              <w:t>a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for with 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sym w:font="Symbol" w:char="F0B3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2 metabolic abnormalities vs. 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BMI 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sym w:font="Symbol" w:char="F0B3"/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 23.0</w:t>
            </w:r>
          </w:p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(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Obese-MAFLD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With diabetes</w:t>
            </w:r>
          </w:p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(Diabetes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-MAFLD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Thinner with</w:t>
            </w:r>
          </w:p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sym w:font="Symbol" w:char="F0B3"/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 2 metabolic abnormalities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Thinner with</w:t>
            </w:r>
          </w:p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sym w:font="Symbol" w:char="F0B3"/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 3 metabolic abnormalities</w:t>
            </w:r>
          </w:p>
        </w:tc>
        <w:tc>
          <w:tcPr>
            <w:tcW w:w="4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22 835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19 053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2 763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1 242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Age, years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43.04±15.54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48.60±14.42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48.26±14.29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58.80±12.56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55.98±13.71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58.28±12.63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0.002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25 389 (52.04)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15 975 (69.96)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14 077 (73.88)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2 001 (72.42)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566 (45.57)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171 (37.42)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0.003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Severity of fatty liver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Mild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13 316 (58.31)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10 483 (55.02)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1 280 (46.33)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899 (72.38)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310 (67.83)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9 293 (40.70)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8 367 (43.91)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1 435 (51.94)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341 (27.46)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146 (31.95)</w:t>
            </w: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Severe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226 (0.99)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203 (1.07)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48 (1.74)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 (0.16)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 (0.22)</w:t>
            </w: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BMI, Kg/m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22.49±10.73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26.03±2.96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26.70±2.58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26.40±3.16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21.85±1.29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21.91±0.96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0.607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1 953 (4.17)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2 726 (12.12)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2 344 (12.49)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2 763 (100)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207 (16.68)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94 (20.57)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10 139 (20.78)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10 171 (44.54)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9 182 (48.19)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1 895 (68.58)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684 (55.07)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309 (67.61)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Platelets, 10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222.39±54.91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226.39±56.24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225.59±56.55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212.20±55.50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227.01±57.67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224.73±60.75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0.325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0.005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BUN, mmoL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4.87±1.79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5.09±1.23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5.12±1.22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5.41±1.36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5.01±1.45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4.99±1.24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0.861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0.002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Creatinine, μmolL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69.24±19.78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72.73±16.76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73.70±16.61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71.64±16.81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67.76±20.13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65.90±15.12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0.022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0.010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TBIL, μmolL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13.30±5.47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13.07±5.21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13.13±5.20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13.26±5.11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12.58±5.12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12.61±5.06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0.821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ALT, U/L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20.62±19.30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33.47±24.68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35.00±25.65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33.14±22.17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26.82±17.90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28.10±20.36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0.291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AST, U/L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22.15±11.43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26.27±15.82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26.70±16.26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26.94±14.56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25.55±14.94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26.98±20.70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0.321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GGT, U/L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26.44±34.74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43.15±39.53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44.82±39.51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47.67±44.28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39.92±50.03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41.02±53.86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0.221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ALP, U/L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74.58±22.36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81.55±22.07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81.54±21.87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84.82±23.31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85.49±23.84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87.91±25.05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0.115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LDH, U/L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181.79±34.03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190.83±36.43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191.55±37.03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191.09±37.28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189.72±32.56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191.35±33.60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0.497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Albumin, g/L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45.51±2.85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45.69±2.75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45.75±2.75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45.45±2.84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45.31±2.66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45.40±2.61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0.591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0.021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HbA1c, 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5.53±0.62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5.83±0.87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5.84±0.86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7.09±1.28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6.00±0.97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6.32±1.26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0.006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FPG, mmol/L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5.18±0.90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5.66±1.37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5.68±1.38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8.26±2.36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5.87±1.49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6.08±1.53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TC, mmol/L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5.00±0.95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5.34±1.02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5.34±1.02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5.37±1.18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5.49±1.04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5.48±1.04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0.841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TG, mmol/L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1.23±0.84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2.13±1.70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2.18±1.75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2.54±2.37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2.37±1.56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2.79±1.65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LDL-C, mmol/L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3.15±0.75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3.48±0.77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3.48±0.77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3.46±0.85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3.54±0.78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3.55±0.80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0.859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HDL-C, mmol/L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1.41±0.32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1.22±0.26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1.20±0.25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1.19±0.26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1.24±0.29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1.16±0.24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APRI score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0.27±0.23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0.31±0.23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0.32±0.23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0.35±0.33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0.31±0.41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0.34±0.62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0.186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APRI score &gt; 1.5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 (0.20)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58 (0.29)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48 (0.28)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15 (0.59)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8 (0.70)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4 (0.95)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0.744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FIB-4 score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1.13±1.09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1.15±0.68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1.14±0.66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1.48±0.83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1.40±0.91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1.51±1.10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0.033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FIB-4 score &gt; 1.3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11 531 (28.05)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6 335 (31.16)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5 145 (30.43)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1 294 (50.71)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528 (46.52)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211 (50.00)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0.222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AFP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3.10±6.19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3.13±2.22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3.12±2.28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3.06±2.45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3.31±2.07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3.33±1.94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0.415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0.002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7D1A14" w:rsidRPr="00F86451" w:rsidTr="009222E8">
        <w:trPr>
          <w:trHeight w:val="20"/>
          <w:jc w:val="center"/>
        </w:trPr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2.05±5.51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2.21±3.33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2.23±3.03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2.98±6.98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2.18±1.51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2.16±1.38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0.796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14" w:rsidRPr="00F86451" w:rsidRDefault="007D1A14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等线" w:hAnsi="Times New Roman" w:cs="Times New Roman"/>
                <w:sz w:val="18"/>
                <w:szCs w:val="18"/>
              </w:rPr>
              <w:t>0.010</w:t>
            </w:r>
            <w:r w:rsidRPr="00F86451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</w:tbl>
    <w:p w:rsidR="001E26E8" w:rsidRDefault="007D1A14">
      <w:r w:rsidRPr="00F86451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F86451">
        <w:rPr>
          <w:rFonts w:ascii="Times New Roman" w:hAnsi="Times New Roman" w:cs="Times New Roman"/>
          <w:sz w:val="18"/>
          <w:szCs w:val="18"/>
        </w:rPr>
        <w:t xml:space="preserve"> Continuous variables were </w:t>
      </w:r>
      <w:r>
        <w:rPr>
          <w:rFonts w:ascii="Times New Roman" w:hAnsi="Times New Roman" w:cs="Times New Roman"/>
          <w:sz w:val="18"/>
          <w:szCs w:val="18"/>
        </w:rPr>
        <w:t>compared</w:t>
      </w:r>
      <w:r w:rsidRPr="00F86451">
        <w:rPr>
          <w:rFonts w:ascii="Times New Roman" w:hAnsi="Times New Roman" w:cs="Times New Roman"/>
          <w:sz w:val="18"/>
          <w:szCs w:val="18"/>
        </w:rPr>
        <w:t xml:space="preserve"> by Student’s </w:t>
      </w:r>
      <w:r w:rsidRPr="00D247E3">
        <w:rPr>
          <w:rFonts w:ascii="Times New Roman" w:hAnsi="Times New Roman" w:cs="Times New Roman"/>
          <w:i/>
          <w:iCs/>
          <w:sz w:val="18"/>
          <w:szCs w:val="18"/>
        </w:rPr>
        <w:t>t</w:t>
      </w:r>
      <w:r w:rsidRPr="00F86451">
        <w:rPr>
          <w:rFonts w:ascii="Times New Roman" w:hAnsi="Times New Roman" w:cs="Times New Roman"/>
          <w:sz w:val="18"/>
          <w:szCs w:val="18"/>
        </w:rPr>
        <w:t>-test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86451">
        <w:rPr>
          <w:rFonts w:ascii="Times New Roman" w:hAnsi="Times New Roman" w:cs="Times New Roman"/>
          <w:sz w:val="18"/>
          <w:szCs w:val="18"/>
        </w:rPr>
        <w:t xml:space="preserve"> Welch’s </w:t>
      </w:r>
      <w:r w:rsidRPr="00D247E3">
        <w:rPr>
          <w:rFonts w:ascii="Times New Roman" w:hAnsi="Times New Roman" w:cs="Times New Roman"/>
          <w:i/>
          <w:iCs/>
          <w:sz w:val="18"/>
          <w:szCs w:val="18"/>
        </w:rPr>
        <w:t>t</w:t>
      </w:r>
      <w:r w:rsidRPr="00F86451">
        <w:rPr>
          <w:rFonts w:ascii="Times New Roman" w:hAnsi="Times New Roman" w:cs="Times New Roman"/>
          <w:sz w:val="18"/>
          <w:szCs w:val="18"/>
        </w:rPr>
        <w:t>-test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86451">
        <w:rPr>
          <w:rFonts w:ascii="Times New Roman" w:hAnsi="Times New Roman" w:cs="Times New Roman"/>
          <w:sz w:val="18"/>
          <w:szCs w:val="18"/>
        </w:rPr>
        <w:t xml:space="preserve"> or Wilcoxon rank-sum </w:t>
      </w:r>
      <w:r>
        <w:rPr>
          <w:rFonts w:ascii="Times New Roman" w:hAnsi="Times New Roman" w:cs="Times New Roman"/>
          <w:sz w:val="18"/>
          <w:szCs w:val="18"/>
        </w:rPr>
        <w:t>test.</w:t>
      </w:r>
      <w:r w:rsidRPr="00F864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F86451">
        <w:rPr>
          <w:rFonts w:ascii="Times New Roman" w:hAnsi="Times New Roman" w:cs="Times New Roman"/>
          <w:sz w:val="18"/>
          <w:szCs w:val="18"/>
        </w:rPr>
        <w:t xml:space="preserve">ategorical variables were </w:t>
      </w:r>
      <w:r>
        <w:rPr>
          <w:rFonts w:ascii="Times New Roman" w:hAnsi="Times New Roman" w:cs="Times New Roman"/>
          <w:sz w:val="18"/>
          <w:szCs w:val="18"/>
        </w:rPr>
        <w:t xml:space="preserve">compared </w:t>
      </w:r>
      <w:r w:rsidRPr="00F86451">
        <w:rPr>
          <w:rFonts w:ascii="Times New Roman" w:hAnsi="Times New Roman" w:cs="Times New Roman"/>
          <w:sz w:val="18"/>
          <w:szCs w:val="18"/>
        </w:rPr>
        <w:t xml:space="preserve">by the 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F86451">
        <w:rPr>
          <w:rFonts w:ascii="Times New Roman" w:hAnsi="Times New Roman" w:cs="Times New Roman"/>
          <w:sz w:val="18"/>
          <w:szCs w:val="18"/>
        </w:rPr>
        <w:t xml:space="preserve">hi-square test Fisher's exact </w:t>
      </w:r>
      <w:r>
        <w:rPr>
          <w:rFonts w:ascii="Times New Roman" w:hAnsi="Times New Roman" w:cs="Times New Roman"/>
          <w:sz w:val="18"/>
          <w:szCs w:val="18"/>
        </w:rPr>
        <w:t>test</w:t>
      </w:r>
      <w:r w:rsidRPr="00F8645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86451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F86451">
        <w:rPr>
          <w:rFonts w:ascii="Times New Roman" w:hAnsi="Times New Roman" w:cs="Times New Roman"/>
          <w:sz w:val="18"/>
          <w:szCs w:val="18"/>
        </w:rPr>
        <w:t xml:space="preserve">P &lt; 0.05, </w:t>
      </w:r>
      <w:r w:rsidRPr="00F86451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F86451">
        <w:rPr>
          <w:rFonts w:ascii="Times New Roman" w:hAnsi="Times New Roman" w:cs="Times New Roman"/>
          <w:sz w:val="18"/>
          <w:szCs w:val="18"/>
        </w:rPr>
        <w:t xml:space="preserve">P &lt;0.01 and </w:t>
      </w:r>
      <w:r w:rsidRPr="00F86451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F86451">
        <w:rPr>
          <w:rFonts w:ascii="Times New Roman" w:hAnsi="Times New Roman" w:cs="Times New Roman"/>
          <w:sz w:val="18"/>
          <w:szCs w:val="18"/>
        </w:rPr>
        <w:t>P &lt;0.001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0F68BA">
        <w:rPr>
          <w:rFonts w:ascii="Times New Roman" w:hAnsi="Times New Roman" w:cs="Times New Roman"/>
          <w:sz w:val="18"/>
          <w:szCs w:val="18"/>
        </w:rPr>
        <w:t>AFP, alpha fetoprotein;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C211A">
        <w:rPr>
          <w:rFonts w:ascii="Times New Roman" w:hAnsi="Times New Roman" w:cs="Times New Roman"/>
          <w:sz w:val="18"/>
          <w:szCs w:val="18"/>
        </w:rPr>
        <w:t>ALP, alkaline phosphatase;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7BB9">
        <w:rPr>
          <w:rFonts w:ascii="Times New Roman" w:hAnsi="Times New Roman" w:cs="Times New Roman"/>
          <w:sz w:val="18"/>
          <w:szCs w:val="18"/>
        </w:rPr>
        <w:t>ALT, alanine aminotransferase; APRI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A57BB9">
        <w:rPr>
          <w:rFonts w:ascii="Times New Roman" w:hAnsi="Times New Roman" w:cs="Times New Roman"/>
          <w:sz w:val="18"/>
          <w:szCs w:val="18"/>
        </w:rPr>
        <w:t>alanine aminotransferase -to-platelet ratio index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A57BB9">
        <w:rPr>
          <w:rFonts w:ascii="Times New Roman" w:hAnsi="Times New Roman" w:cs="Times New Roman"/>
          <w:sz w:val="18"/>
          <w:szCs w:val="18"/>
        </w:rPr>
        <w:t>AST, aspartate aminotransferase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0F68BA">
        <w:rPr>
          <w:rFonts w:ascii="Times New Roman" w:hAnsi="Times New Roman" w:cs="Times New Roman"/>
          <w:sz w:val="18"/>
          <w:szCs w:val="18"/>
        </w:rPr>
        <w:t>BMI, body mass index;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16D80">
        <w:rPr>
          <w:rFonts w:ascii="Times New Roman" w:hAnsi="Times New Roman" w:cs="Times New Roman"/>
          <w:sz w:val="18"/>
          <w:szCs w:val="18"/>
        </w:rPr>
        <w:t>BUN, blood urea nitrogen;</w:t>
      </w:r>
      <w:r w:rsidRPr="00746087">
        <w:rPr>
          <w:rFonts w:ascii="Times New Roman" w:hAnsi="Times New Roman" w:cs="Times New Roman"/>
          <w:sz w:val="18"/>
          <w:szCs w:val="18"/>
        </w:rPr>
        <w:t xml:space="preserve"> CEA, carcinoembryonic antigen; </w:t>
      </w:r>
      <w:r w:rsidRPr="00632353">
        <w:rPr>
          <w:rFonts w:ascii="Times New Roman" w:hAnsi="Times New Roman" w:cs="Times New Roman"/>
          <w:sz w:val="18"/>
          <w:szCs w:val="18"/>
        </w:rPr>
        <w:t>FIB-4, Fibrosis-4 index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A5AE2">
        <w:rPr>
          <w:rFonts w:ascii="Times New Roman" w:hAnsi="Times New Roman" w:cs="Times New Roman"/>
          <w:sz w:val="18"/>
          <w:szCs w:val="18"/>
        </w:rPr>
        <w:t>FPG, fasting plasma glucose;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16D80">
        <w:rPr>
          <w:rFonts w:ascii="Times New Roman" w:hAnsi="Times New Roman" w:cs="Times New Roman"/>
          <w:sz w:val="18"/>
          <w:szCs w:val="18"/>
        </w:rPr>
        <w:t>GGT, γ-glutamyl transferase;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5AE2">
        <w:rPr>
          <w:rFonts w:ascii="Times New Roman" w:hAnsi="Times New Roman" w:cs="Times New Roman"/>
          <w:sz w:val="18"/>
          <w:szCs w:val="18"/>
        </w:rPr>
        <w:t>HbA1c, glycated haemoglobin;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5AE2">
        <w:rPr>
          <w:rFonts w:ascii="Times New Roman" w:hAnsi="Times New Roman" w:cs="Times New Roman"/>
          <w:sz w:val="18"/>
          <w:szCs w:val="18"/>
        </w:rPr>
        <w:t>HDL-C, high-density lipoprotein-cholesterol;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5AE2">
        <w:rPr>
          <w:rFonts w:ascii="Times New Roman" w:hAnsi="Times New Roman" w:cs="Times New Roman"/>
          <w:sz w:val="18"/>
          <w:szCs w:val="18"/>
        </w:rPr>
        <w:t>LDH, lactic dehydrogenase;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5AE2">
        <w:rPr>
          <w:rFonts w:ascii="Times New Roman" w:hAnsi="Times New Roman" w:cs="Times New Roman"/>
          <w:sz w:val="18"/>
          <w:szCs w:val="18"/>
        </w:rPr>
        <w:t>LDL-C, low-density lipoprotein-cholesterol;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68BA">
        <w:rPr>
          <w:rFonts w:ascii="Times New Roman" w:hAnsi="Times New Roman" w:cs="Times New Roman"/>
          <w:sz w:val="18"/>
          <w:szCs w:val="18"/>
        </w:rPr>
        <w:t>MAFLD, metabolic associated fatty liver disease;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68BA">
        <w:rPr>
          <w:rFonts w:ascii="Times New Roman" w:hAnsi="Times New Roman" w:cs="Times New Roman"/>
          <w:sz w:val="18"/>
          <w:szCs w:val="18"/>
        </w:rPr>
        <w:t>NAFLD, non-alcoholic fatty liver disease;</w:t>
      </w:r>
      <w:r w:rsidRPr="00D16D80">
        <w:t xml:space="preserve"> </w:t>
      </w:r>
      <w:r w:rsidRPr="00D16D80">
        <w:rPr>
          <w:rFonts w:ascii="Times New Roman" w:hAnsi="Times New Roman" w:cs="Times New Roman"/>
          <w:sz w:val="18"/>
          <w:szCs w:val="18"/>
        </w:rPr>
        <w:t>TBIL, total bilirubin;</w:t>
      </w:r>
      <w:r w:rsidRPr="005A5AE2">
        <w:t xml:space="preserve"> </w:t>
      </w:r>
      <w:r w:rsidRPr="005A5AE2">
        <w:rPr>
          <w:rFonts w:ascii="Times New Roman" w:hAnsi="Times New Roman" w:cs="Times New Roman"/>
          <w:sz w:val="18"/>
          <w:szCs w:val="18"/>
        </w:rPr>
        <w:t>TC, total cholesterol;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5AE2">
        <w:rPr>
          <w:rFonts w:ascii="Times New Roman" w:hAnsi="Times New Roman" w:cs="Times New Roman"/>
          <w:sz w:val="18"/>
          <w:szCs w:val="18"/>
        </w:rPr>
        <w:t>TG, triglyceride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1E26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7D1A14"/>
    <w:rsid w:val="001E26E8"/>
    <w:rsid w:val="007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2023-01-03T02:56:00Z</dcterms:created>
  <dcterms:modified xsi:type="dcterms:W3CDTF">2023-01-03T02:56:00Z</dcterms:modified>
</cp:coreProperties>
</file>