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A0" w:rsidRDefault="006323A0" w:rsidP="006323A0">
      <w:pPr>
        <w:spacing w:line="360" w:lineRule="auto"/>
        <w:rPr>
          <w:rFonts w:ascii="Times New Roman" w:eastAsia="宋体" w:hAnsi="Times New Roman"/>
        </w:rPr>
      </w:pPr>
      <w:r w:rsidRPr="00B42794">
        <w:rPr>
          <w:rFonts w:ascii="Times New Roman" w:hAnsi="Times New Roman" w:cs="Times New Roman"/>
          <w:b/>
          <w:bCs/>
        </w:rPr>
        <w:t>Supplementa</w:t>
      </w:r>
      <w:r>
        <w:rPr>
          <w:rFonts w:ascii="Times New Roman" w:hAnsi="Times New Roman" w:cs="Times New Roman"/>
          <w:b/>
          <w:bCs/>
        </w:rPr>
        <w:t xml:space="preserve">ry </w:t>
      </w:r>
      <w:r w:rsidRPr="00B42794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/>
          <w:b/>
          <w:bCs/>
        </w:rPr>
        <w:t xml:space="preserve"> </w:t>
      </w:r>
      <w:r w:rsidRPr="00B42794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等线" w:hAnsi="Times New Roman" w:cs="Times New Roman"/>
          <w:b/>
          <w:bCs/>
          <w:color w:val="000000"/>
        </w:rPr>
        <w:t>B</w:t>
      </w:r>
      <w:r w:rsidRPr="00B42794">
        <w:rPr>
          <w:rFonts w:ascii="Times New Roman" w:eastAsia="等线" w:hAnsi="Times New Roman" w:cs="Times New Roman"/>
          <w:b/>
          <w:bCs/>
          <w:color w:val="000000"/>
        </w:rPr>
        <w:t>aseline</w:t>
      </w:r>
      <w:r>
        <w:rPr>
          <w:rFonts w:ascii="Times New Roman" w:eastAsia="等线" w:hAnsi="Times New Roman" w:cs="Times New Roman"/>
          <w:b/>
          <w:bCs/>
          <w:color w:val="000000"/>
        </w:rPr>
        <w:t xml:space="preserve"> characteristics </w:t>
      </w:r>
      <w:r w:rsidRPr="00B42794">
        <w:rPr>
          <w:rFonts w:ascii="Times New Roman" w:eastAsia="等线" w:hAnsi="Times New Roman" w:cs="Times New Roman"/>
          <w:b/>
          <w:bCs/>
          <w:color w:val="000000"/>
        </w:rPr>
        <w:t>of</w:t>
      </w:r>
      <w:r>
        <w:rPr>
          <w:rFonts w:ascii="Times New Roman" w:eastAsia="等线" w:hAnsi="Times New Roman" w:cs="Times New Roman"/>
          <w:b/>
          <w:bCs/>
          <w:color w:val="000000"/>
        </w:rPr>
        <w:t xml:space="preserve"> </w:t>
      </w:r>
      <w:r w:rsidRPr="00B42794">
        <w:rPr>
          <w:rFonts w:ascii="Times New Roman" w:eastAsia="等线" w:hAnsi="Times New Roman" w:cs="Times New Roman"/>
          <w:b/>
          <w:bCs/>
          <w:color w:val="000000"/>
        </w:rPr>
        <w:t>nonhyperlipidemi</w:t>
      </w:r>
      <w:r>
        <w:rPr>
          <w:rFonts w:ascii="Times New Roman" w:eastAsia="等线" w:hAnsi="Times New Roman" w:cs="Times New Roman"/>
          <w:b/>
          <w:bCs/>
          <w:color w:val="000000"/>
        </w:rPr>
        <w:t>c patients</w:t>
      </w:r>
    </w:p>
    <w:tbl>
      <w:tblPr>
        <w:tblW w:w="5000" w:type="pct"/>
        <w:tblLayout w:type="fixed"/>
        <w:tblLook w:val="04A0"/>
      </w:tblPr>
      <w:tblGrid>
        <w:gridCol w:w="1579"/>
        <w:gridCol w:w="1575"/>
        <w:gridCol w:w="1577"/>
        <w:gridCol w:w="1893"/>
        <w:gridCol w:w="1579"/>
        <w:gridCol w:w="1039"/>
      </w:tblGrid>
      <w:tr w:rsidR="006323A0" w:rsidRPr="002C265C" w:rsidTr="004540AD">
        <w:trPr>
          <w:trHeight w:val="280"/>
        </w:trPr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2C265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Variable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  <w:t>s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2C265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Total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40)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2C265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NL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20)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2C265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FL1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10)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2C265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FL2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(</w:t>
            </w: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=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2C265C">
              <w:rPr>
                <w:rFonts w:ascii="Times New Roman" w:eastAsia="等线" w:hAnsi="Times New Roman" w:cs="Times New Roman" w:hint="eastAsia"/>
                <w:b/>
                <w:bCs/>
                <w:color w:val="000000"/>
                <w:sz w:val="15"/>
                <w:szCs w:val="15"/>
              </w:rPr>
              <w:t>10)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B42794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B42794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sz w:val="15"/>
                <w:szCs w:val="15"/>
              </w:rPr>
              <w:t>p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ge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year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45.7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10.71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792909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45.9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11.25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44.9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46.1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11.27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0.96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ex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792909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0.23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F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emale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(48)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792909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(45)</w:t>
            </w:r>
          </w:p>
        </w:tc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(30)</w:t>
            </w:r>
          </w:p>
        </w:tc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(70)</w:t>
            </w: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ale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(52)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792909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(55)</w:t>
            </w:r>
          </w:p>
        </w:tc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(70)</w:t>
            </w:r>
          </w:p>
        </w:tc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(30)</w:t>
            </w: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LDL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mmol/L</w:t>
            </w:r>
          </w:p>
        </w:tc>
        <w:tc>
          <w:tcPr>
            <w:tcW w:w="8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3.08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0.73</w:t>
            </w:r>
          </w:p>
        </w:tc>
        <w:tc>
          <w:tcPr>
            <w:tcW w:w="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792909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792909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3.18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792909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0.55</w:t>
            </w:r>
          </w:p>
        </w:tc>
        <w:tc>
          <w:tcPr>
            <w:tcW w:w="10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2.66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8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3.27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0.63</w:t>
            </w: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0.11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TG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mmol/L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1.14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(0.88,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1.62)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(0.76,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1.19)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(1.02,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1.59)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2.04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(1.19,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2.17)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HDL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mmol/L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1.23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1.28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1.23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0.42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1.11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0.41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TC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mmol/L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4.78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0.91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4.75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0.88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4.39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1.03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5.23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0.11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GGT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U/L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(16,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40)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(13.75,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18.5)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36.5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(26.33,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52.75)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(33.75,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54.5)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ALT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U/L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(14.45,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15.5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(13.5,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18)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(16.32,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24.27)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(17,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AST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U/L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(15.75,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37.47)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(14,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24.5)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(19.4,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34.5)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29.5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37.83)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0.13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ALP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U/L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64.7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(55.75,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68.12)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64.6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68.12)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63.5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(52.03,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67.42)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65.6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(59.47,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72.88)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0.69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ALB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43.05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(15.45,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45.73)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40.88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(16.2,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46.15)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43.55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(13.25,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46.2)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43.2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(24.02,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44.1)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0.95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TP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67.35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(62.08,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71.4)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65.8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(62.08,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71.3)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68.7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(52.8,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71.48)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67.85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(66.32,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71.12)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0.86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F32771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μ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mol/L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3.08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(2.12,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4.62)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2.25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(1.9,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2.8)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3.52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(2.48,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4.47)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4.5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(4.1,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5.07)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TBIL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, </w:t>
            </w:r>
            <w:r w:rsidRPr="00F32771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μ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mol/L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(8.1,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17.2)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(8.67,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15.45)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12.4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(8.72,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18.38)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9.95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(7.5,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19.68)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0.88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WBC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 w:rsidRPr="00F32771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sym w:font="Symbol" w:char="F0B4"/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9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6.52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(5.7,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7.96)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6.53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(6.15,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7.62)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6.94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(5.73,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9.59)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6.04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(5.34,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6.71)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0.53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PLT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  <w:r w:rsidRPr="00F32771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,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sym w:font="Symbol" w:char="F0B4"/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9</w:t>
            </w:r>
            <w:r w:rsidRPr="00F32771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/L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240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(218.75,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261.75)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221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(201.75,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239.5)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257.5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(245.25,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290.25)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252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(240.75,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270)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Abdominal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circumference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cm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91.83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12.47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84.95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10.63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8.6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101.4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11.63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eight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cm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166.68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9.08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167.3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7.69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168.2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9.07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163.9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±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11.75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0.53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</w:pPr>
            <w:r w:rsidRPr="008E74EC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W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eight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b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, kg</w:t>
            </w:r>
          </w:p>
        </w:tc>
        <w:tc>
          <w:tcPr>
            <w:tcW w:w="8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73.5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78.25)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(61.5,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77.25)</w:t>
            </w:r>
          </w:p>
        </w:tc>
        <w:tc>
          <w:tcPr>
            <w:tcW w:w="10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72.5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75)</w:t>
            </w:r>
          </w:p>
        </w:tc>
        <w:tc>
          <w:tcPr>
            <w:tcW w:w="8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76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(68.75,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81.25)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0.33</w:t>
            </w:r>
          </w:p>
        </w:tc>
      </w:tr>
      <w:tr w:rsidR="006323A0" w:rsidRPr="008E74EC" w:rsidTr="004540AD">
        <w:trPr>
          <w:trHeight w:val="280"/>
        </w:trPr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BMI</w:t>
            </w: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25.14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(24.1,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27.37)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24.49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(22.72,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25.99)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25.14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(24.45,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26.17)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29.02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(26.52,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31.23)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3A0" w:rsidRPr="008E74EC" w:rsidRDefault="006323A0" w:rsidP="004540AD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&lt;</w:t>
            </w:r>
            <w:r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 w:rsidRPr="008E74EC">
              <w:rPr>
                <w:rFonts w:ascii="Times New Roman" w:eastAsia="等线" w:hAnsi="Times New Roman" w:cs="Times New Roman" w:hint="eastAsia"/>
                <w:color w:val="000000"/>
                <w:sz w:val="15"/>
                <w:szCs w:val="15"/>
              </w:rPr>
              <w:t>0.01</w:t>
            </w:r>
          </w:p>
        </w:tc>
      </w:tr>
    </w:tbl>
    <w:p w:rsidR="006323A0" w:rsidRPr="00C66274" w:rsidRDefault="006323A0" w:rsidP="006323A0">
      <w:pPr>
        <w:spacing w:line="360" w:lineRule="auto"/>
        <w:contextualSpacing/>
        <w:rPr>
          <w:rFonts w:ascii="Times New Roman" w:eastAsia="宋体" w:hAnsi="Times New Roman" w:cs="Times New Roman"/>
          <w:color w:val="000000"/>
        </w:rPr>
      </w:pPr>
      <w:r w:rsidRPr="00B42794">
        <w:rPr>
          <w:rFonts w:ascii="Times New Roman" w:eastAsia="宋体" w:hAnsi="Times New Roman" w:cs="Times New Roman"/>
          <w:color w:val="000000"/>
          <w:vertAlign w:val="superscript"/>
        </w:rPr>
        <w:t>a</w:t>
      </w:r>
      <w:r>
        <w:rPr>
          <w:rFonts w:ascii="Times New Roman" w:eastAsia="宋体" w:hAnsi="Times New Roman" w:cs="Times New Roman"/>
          <w:color w:val="000000"/>
        </w:rPr>
        <w:t>N</w:t>
      </w:r>
      <w:r w:rsidRPr="00942518">
        <w:rPr>
          <w:rFonts w:ascii="Times New Roman" w:eastAsia="宋体" w:hAnsi="Times New Roman" w:cs="Times New Roman"/>
          <w:color w:val="000000"/>
        </w:rPr>
        <w:t>on-normally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942518">
        <w:rPr>
          <w:rFonts w:ascii="Times New Roman" w:eastAsia="宋体" w:hAnsi="Times New Roman" w:cs="Times New Roman"/>
          <w:color w:val="000000"/>
        </w:rPr>
        <w:t>distributed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942518">
        <w:rPr>
          <w:rFonts w:ascii="Times New Roman" w:eastAsia="宋体" w:hAnsi="Times New Roman" w:cs="Times New Roman"/>
          <w:color w:val="000000"/>
        </w:rPr>
        <w:t>numerical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942518">
        <w:rPr>
          <w:rFonts w:ascii="Times New Roman" w:eastAsia="宋体" w:hAnsi="Times New Roman" w:cs="Times New Roman"/>
          <w:color w:val="000000"/>
        </w:rPr>
        <w:t>variables</w:t>
      </w:r>
      <w:r>
        <w:rPr>
          <w:rFonts w:ascii="Times New Roman" w:eastAsia="宋体" w:hAnsi="Times New Roman" w:cs="Times New Roman"/>
          <w:color w:val="000000"/>
        </w:rPr>
        <w:t xml:space="preserve"> are presented as </w:t>
      </w:r>
      <w:r w:rsidRPr="00942518">
        <w:rPr>
          <w:rFonts w:ascii="Times New Roman" w:eastAsia="宋体" w:hAnsi="Times New Roman" w:cs="宋体"/>
          <w:color w:val="000000"/>
        </w:rPr>
        <w:t>median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942518">
        <w:rPr>
          <w:rFonts w:ascii="Times New Roman" w:eastAsia="宋体" w:hAnsi="Times New Roman" w:cs="宋体"/>
          <w:color w:val="000000"/>
        </w:rPr>
        <w:t>(first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942518">
        <w:rPr>
          <w:rFonts w:ascii="Times New Roman" w:eastAsia="宋体" w:hAnsi="Times New Roman" w:cs="宋体"/>
          <w:color w:val="000000"/>
        </w:rPr>
        <w:t>quartile,</w:t>
      </w:r>
      <w:r>
        <w:rPr>
          <w:rFonts w:hint="eastAsia"/>
        </w:rPr>
        <w:t xml:space="preserve"> </w:t>
      </w:r>
      <w:r w:rsidRPr="00942518">
        <w:rPr>
          <w:rFonts w:ascii="Times New Roman" w:eastAsia="宋体" w:hAnsi="Times New Roman" w:cs="宋体"/>
          <w:color w:val="000000"/>
        </w:rPr>
        <w:t>third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942518">
        <w:rPr>
          <w:rFonts w:ascii="Times New Roman" w:eastAsia="宋体" w:hAnsi="Times New Roman" w:cs="宋体"/>
          <w:color w:val="000000"/>
        </w:rPr>
        <w:t>quantile);</w:t>
      </w:r>
      <w:r>
        <w:rPr>
          <w:rFonts w:ascii="Times New Roman" w:eastAsia="宋体" w:hAnsi="Times New Roman" w:cs="宋体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  <w:vertAlign w:val="superscript"/>
        </w:rPr>
        <w:t>b</w:t>
      </w:r>
      <w:r>
        <w:rPr>
          <w:rFonts w:ascii="Times New Roman" w:eastAsia="宋体" w:hAnsi="Times New Roman" w:cs="Times New Roman"/>
          <w:color w:val="000000"/>
        </w:rPr>
        <w:t>N</w:t>
      </w:r>
      <w:r w:rsidRPr="00845380">
        <w:rPr>
          <w:rFonts w:ascii="Times New Roman" w:eastAsia="宋体" w:hAnsi="Times New Roman" w:cs="Times New Roman"/>
          <w:color w:val="000000"/>
        </w:rPr>
        <w:t>ormally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distributed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numerical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variables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宋体"/>
          <w:color w:val="000000"/>
        </w:rPr>
        <w:t>a</w:t>
      </w:r>
      <w:r w:rsidRPr="00C66274">
        <w:rPr>
          <w:rFonts w:ascii="Times New Roman" w:eastAsia="宋体" w:hAnsi="Times New Roman" w:cs="Times New Roman"/>
          <w:color w:val="000000"/>
        </w:rPr>
        <w:t>re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presented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as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 w:hint="eastAsia"/>
          <w:color w:val="000000"/>
        </w:rPr>
        <w:t>m</w:t>
      </w:r>
      <w:r w:rsidRPr="00C66274">
        <w:rPr>
          <w:rFonts w:ascii="Times New Roman" w:eastAsia="宋体" w:hAnsi="Times New Roman" w:cs="Times New Roman"/>
          <w:color w:val="000000"/>
        </w:rPr>
        <w:t>ean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±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standard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deviation;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c</w:t>
      </w:r>
      <w:r>
        <w:rPr>
          <w:rFonts w:ascii="Times New Roman" w:eastAsia="宋体" w:hAnsi="Times New Roman" w:cs="Times New Roman"/>
          <w:color w:val="000000"/>
        </w:rPr>
        <w:t>D</w:t>
      </w:r>
      <w:r w:rsidRPr="00845380">
        <w:rPr>
          <w:rFonts w:ascii="Times New Roman" w:eastAsia="宋体" w:hAnsi="Times New Roman" w:cs="Times New Roman"/>
          <w:color w:val="000000"/>
        </w:rPr>
        <w:t>isordered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classification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variables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845380">
        <w:rPr>
          <w:rFonts w:ascii="Times New Roman" w:eastAsia="宋体" w:hAnsi="Times New Roman" w:cs="Times New Roman"/>
          <w:color w:val="000000"/>
        </w:rPr>
        <w:t>are</w:t>
      </w:r>
      <w:r>
        <w:rPr>
          <w:rFonts w:ascii="Times New Roman" w:eastAsia="宋体" w:hAnsi="Times New Roman" w:cs="Times New Roman"/>
          <w:color w:val="000000"/>
        </w:rPr>
        <w:t xml:space="preserve"> presented as </w:t>
      </w:r>
      <w:r w:rsidRPr="00845380">
        <w:rPr>
          <w:rFonts w:ascii="Times New Roman" w:eastAsia="宋体" w:hAnsi="Times New Roman" w:cs="Times New Roman"/>
          <w:color w:val="000000"/>
        </w:rPr>
        <w:t>percentage.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FL1,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mild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fatty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liver;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FL2,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moderately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severe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fatty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liver;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NL,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normal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C66274">
        <w:rPr>
          <w:rFonts w:ascii="Times New Roman" w:eastAsia="宋体" w:hAnsi="Times New Roman" w:cs="Times New Roman"/>
          <w:color w:val="000000"/>
        </w:rPr>
        <w:t>liver;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ALB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albumin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ALP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alkaline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phosphatase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ALT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glutamate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pyruvic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lastRenderedPageBreak/>
        <w:t>transaminase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AST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aspartate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aminotransferase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DB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direct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bilirubin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GGT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γ-glutamyl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transpeptidase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HDL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high-density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lipoprotein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LDL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low-density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lipoprotein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PLT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platelet</w:t>
      </w:r>
      <w:r w:rsidRPr="00C66274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TB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total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bilirubin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TC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total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cholesterol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TG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triglyceride</w:t>
      </w:r>
      <w:r w:rsidRPr="00C66274">
        <w:rPr>
          <w:rFonts w:ascii="Times New Roman" w:eastAsia="宋体" w:hAnsi="Times New Roman" w:cs="Times New Roman"/>
          <w:color w:val="000000"/>
        </w:rPr>
        <w:t>s</w:t>
      </w:r>
      <w:r w:rsidRPr="00B42794" w:rsidDel="009A156E">
        <w:rPr>
          <w:rFonts w:ascii="Times New Roman" w:eastAsia="宋体" w:hAnsi="Times New Roman" w:cs="Times New Roman"/>
          <w:color w:val="000000"/>
        </w:rPr>
        <w:t>;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WBC</w:t>
      </w:r>
      <w:r w:rsidRPr="00C66274">
        <w:rPr>
          <w:rFonts w:ascii="Times New Roman" w:eastAsia="宋体" w:hAnsi="Times New Roman" w:cs="Times New Roman"/>
          <w:color w:val="000000"/>
        </w:rPr>
        <w:t>,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white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blood</w:t>
      </w:r>
      <w:r>
        <w:rPr>
          <w:rFonts w:ascii="Times New Roman" w:eastAsia="宋体" w:hAnsi="Times New Roman" w:cs="Times New Roman"/>
          <w:color w:val="000000"/>
        </w:rPr>
        <w:t xml:space="preserve"> </w:t>
      </w:r>
      <w:r w:rsidRPr="00B42794">
        <w:rPr>
          <w:rFonts w:ascii="Times New Roman" w:eastAsia="宋体" w:hAnsi="Times New Roman" w:cs="Times New Roman"/>
          <w:color w:val="000000"/>
        </w:rPr>
        <w:t>cell</w:t>
      </w:r>
      <w:r w:rsidRPr="00C66274">
        <w:rPr>
          <w:rFonts w:ascii="Times New Roman" w:eastAsia="宋体" w:hAnsi="Times New Roman" w:cs="Times New Roman"/>
          <w:color w:val="000000"/>
        </w:rPr>
        <w:t>.</w:t>
      </w:r>
    </w:p>
    <w:p w:rsidR="006323A0" w:rsidRPr="00C66274" w:rsidRDefault="006323A0" w:rsidP="006323A0">
      <w:pPr>
        <w:spacing w:line="360" w:lineRule="auto"/>
        <w:rPr>
          <w:rFonts w:ascii="Times New Roman" w:eastAsia="宋体" w:hAnsi="Times New Roman"/>
        </w:rPr>
      </w:pPr>
    </w:p>
    <w:p w:rsidR="006323A0" w:rsidRDefault="006323A0" w:rsidP="006323A0">
      <w:pPr>
        <w:spacing w:line="360" w:lineRule="auto"/>
        <w:rPr>
          <w:rFonts w:ascii="Times New Roman" w:eastAsia="宋体" w:hAnsi="Times New Roman"/>
          <w:b/>
          <w:bCs/>
        </w:rPr>
      </w:pPr>
    </w:p>
    <w:p w:rsidR="006323A0" w:rsidRPr="00C66274" w:rsidRDefault="006323A0" w:rsidP="006323A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6323A0" w:rsidRDefault="006323A0" w:rsidP="006323A0">
      <w:pPr>
        <w:spacing w:line="360" w:lineRule="auto"/>
        <w:rPr>
          <w:rFonts w:ascii="Times New Roman" w:eastAsia="宋体" w:hAnsi="Times New Roman"/>
          <w:b/>
          <w:bCs/>
        </w:rPr>
      </w:pPr>
    </w:p>
    <w:p w:rsidR="003322CF" w:rsidRDefault="003322CF"/>
    <w:sectPr w:rsidR="003322CF" w:rsidSect="00617F3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defaultTabStop w:val="720"/>
  <w:characterSpacingControl w:val="doNotCompress"/>
  <w:compat>
    <w:useFELayout/>
  </w:compat>
  <w:rsids>
    <w:rsidRoot w:val="006323A0"/>
    <w:rsid w:val="003322CF"/>
    <w:rsid w:val="0063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2024-02-26T00:39:00Z</dcterms:created>
  <dcterms:modified xsi:type="dcterms:W3CDTF">2024-02-26T00:39:00Z</dcterms:modified>
</cp:coreProperties>
</file>