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6FB">
      <w:r w:rsidRPr="00B056FB">
        <w:drawing>
          <wp:inline distT="0" distB="0" distL="0" distR="0">
            <wp:extent cx="5274310" cy="5274310"/>
            <wp:effectExtent l="0" t="0" r="1397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5D" w:rsidRDefault="00DC455D">
      <w:r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Fig. 1. Enrichment of HBV integration-targeted gene in KEGG pathways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vertical and horizontal axes 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 w:hint="eastAsia"/>
          <w:sz w:val="24"/>
          <w:szCs w:val="24"/>
        </w:rPr>
        <w:t xml:space="preserve"> the pathway</w:t>
      </w:r>
      <w:r>
        <w:rPr>
          <w:rFonts w:ascii="Times New Roman" w:hAnsi="Times New Roman" w:cs="Times New Roman"/>
          <w:sz w:val="24"/>
          <w:szCs w:val="24"/>
        </w:rPr>
        <w:t xml:space="preserve"> names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</w:rPr>
        <w:t xml:space="preserve"> respectively. The bubble size </w:t>
      </w:r>
      <w:r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count of the enriched genes and the color shows the statistical significance with red relating to a smaller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-value.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018">
        <w:rPr>
          <w:rFonts w:ascii="Times New Roman" w:hAnsi="Times New Roman" w:cs="Times New Roman"/>
          <w:sz w:val="24"/>
          <w:szCs w:val="24"/>
        </w:rPr>
        <w:t>HBV, hepatitis B virus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45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056FB"/>
    <w:rsid w:val="00B056FB"/>
    <w:rsid w:val="00D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2022-07-12T04:12:00Z</dcterms:created>
  <dcterms:modified xsi:type="dcterms:W3CDTF">2022-07-12T04:12:00Z</dcterms:modified>
</cp:coreProperties>
</file>