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21" w:rsidRDefault="00F70E21" w:rsidP="00F70E21">
      <w:pPr>
        <w:spacing w:after="0" w:line="240" w:lineRule="auto"/>
        <w:rPr>
          <w:rFonts w:ascii="宋体" w:eastAsia="宋体" w:hAnsi="宋体"/>
          <w:b/>
        </w:rPr>
      </w:pPr>
    </w:p>
    <w:tbl>
      <w:tblPr>
        <w:tblpPr w:leftFromText="180" w:rightFromText="180" w:vertAnchor="text" w:horzAnchor="page" w:tblpX="307" w:tblpY="1272"/>
        <w:tblOverlap w:val="never"/>
        <w:tblW w:w="5660" w:type="pct"/>
        <w:tblLook w:val="04A0"/>
      </w:tblPr>
      <w:tblGrid>
        <w:gridCol w:w="950"/>
        <w:gridCol w:w="1070"/>
        <w:gridCol w:w="1070"/>
        <w:gridCol w:w="1416"/>
        <w:gridCol w:w="1430"/>
        <w:gridCol w:w="1296"/>
        <w:gridCol w:w="1230"/>
        <w:gridCol w:w="876"/>
        <w:gridCol w:w="687"/>
      </w:tblGrid>
      <w:tr w:rsidR="00F70E21" w:rsidTr="00B60D03">
        <w:trPr>
          <w:gridAfter w:val="1"/>
          <w:wAfter w:w="583" w:type="pct"/>
          <w:trHeight w:val="343"/>
        </w:trPr>
        <w:tc>
          <w:tcPr>
            <w:tcW w:w="4417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0E21" w:rsidRPr="00D40155" w:rsidRDefault="00F70E21" w:rsidP="00383BB5">
            <w:pPr>
              <w:jc w:val="both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724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Supplementary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24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Table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3BB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4</w:t>
            </w:r>
            <w:r w:rsidRPr="00D401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01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Details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01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01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three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01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patients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01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with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01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HBsAg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01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loss</w:t>
            </w:r>
          </w:p>
        </w:tc>
      </w:tr>
      <w:tr w:rsidR="00F70E21" w:rsidTr="00B60D03">
        <w:trPr>
          <w:trHeight w:val="525"/>
        </w:trPr>
        <w:tc>
          <w:tcPr>
            <w:tcW w:w="41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Patient ID</w:t>
            </w:r>
          </w:p>
        </w:tc>
        <w:tc>
          <w:tcPr>
            <w:tcW w:w="45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Serum HBsAg (IU/mL)</w:t>
            </w: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HBsAb (IU/mL)</w:t>
            </w:r>
          </w:p>
        </w:tc>
        <w:tc>
          <w:tcPr>
            <w:tcW w:w="55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cccDNA (copies/cell)</w:t>
            </w:r>
          </w:p>
        </w:tc>
        <w:tc>
          <w:tcPr>
            <w:tcW w:w="73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Serum pgRNA (copies/mL)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Integrated events</w:t>
            </w:r>
          </w:p>
        </w:tc>
        <w:tc>
          <w:tcPr>
            <w:tcW w:w="50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Liver pathology</w:t>
            </w:r>
          </w:p>
        </w:tc>
        <w:tc>
          <w:tcPr>
            <w:tcW w:w="1442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Therapeutic regimen</w:t>
            </w:r>
          </w:p>
        </w:tc>
      </w:tr>
      <w:tr w:rsidR="00F70E21" w:rsidTr="00B60D03">
        <w:trPr>
          <w:trHeight w:val="525"/>
        </w:trPr>
        <w:tc>
          <w:tcPr>
            <w:tcW w:w="41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E21" w:rsidTr="00B60D03">
        <w:trPr>
          <w:trHeight w:val="525"/>
        </w:trPr>
        <w:tc>
          <w:tcPr>
            <w:tcW w:w="41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E21" w:rsidTr="00B60D03">
        <w:trPr>
          <w:trHeight w:val="348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21" w:rsidRDefault="00F70E21" w:rsidP="00B60D03">
            <w:pPr>
              <w:jc w:val="center"/>
              <w:textAlignment w:val="bottom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F807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40155">
              <w:rPr>
                <w:rStyle w:val="font01"/>
                <w:rFonts w:ascii="Times New Roman" w:hAnsi="Times New Roman" w:cs="Times New Roman"/>
              </w:rPr>
              <w:t>&lt;</w:t>
            </w:r>
            <w:r>
              <w:rPr>
                <w:rStyle w:val="font01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73.93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Undetected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Undetected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G2S1-2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E21" w:rsidRDefault="00F70E21" w:rsidP="00B60D03">
            <w:pPr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Entecavir for 22 months</w:t>
            </w:r>
          </w:p>
        </w:tc>
      </w:tr>
      <w:tr w:rsidR="00F70E21" w:rsidTr="00B60D03">
        <w:trPr>
          <w:trHeight w:val="1175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F808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cs="Times New Roman"/>
              </w:rPr>
              <w:t xml:space="preserve">&lt;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Undetected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G1S1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E21" w:rsidRDefault="00F70E21" w:rsidP="00B60D03">
            <w:pPr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Patient treated with 38 months of entecavir and regiment change to pegylated interferon–entecavir combination therapy for 12 weeks followed by pegylated interferon for 36 weeks </w:t>
            </w:r>
            <w:r>
              <w:rPr>
                <w:rStyle w:val="font01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HBsAg loss appearing after 12 weeks of pegylated interferon treatment alone</w:t>
            </w:r>
            <w:r>
              <w:rPr>
                <w:rStyle w:val="font01"/>
              </w:rPr>
              <w:t>)</w:t>
            </w:r>
          </w:p>
        </w:tc>
      </w:tr>
      <w:tr w:rsidR="00F70E21" w:rsidTr="00B60D03">
        <w:trPr>
          <w:trHeight w:val="926"/>
        </w:trPr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R228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cs="Times New Roman"/>
              </w:rPr>
              <w:t xml:space="preserve">&lt;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9.46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Undetected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G1S1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0E21" w:rsidRDefault="00F70E21" w:rsidP="00B60D03">
            <w:pPr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Patient treated with 13 months of TDF and regimen change to TDF-pegylated interferon combination therapy for 72 weeks (HBsAg loss appearing after 44 weeks of combination therapy)</w:t>
            </w:r>
          </w:p>
        </w:tc>
      </w:tr>
    </w:tbl>
    <w:p w:rsidR="00F70E21" w:rsidRDefault="00F70E21" w:rsidP="00F70E21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cccDNA, covalently closed circular DNA; HBsAb, hepatitis B surface antibody; HBsAg, hepatitis B surface antigen; pgRNA, pre-genomic RNA; </w:t>
      </w:r>
      <w:r w:rsidRPr="00DA7C89">
        <w:rPr>
          <w:rFonts w:ascii="Times New Roman" w:hAnsi="Times New Roman" w:cs="Times New Roman"/>
          <w:sz w:val="24"/>
          <w:szCs w:val="24"/>
        </w:rPr>
        <w:t>SD,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89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89">
        <w:rPr>
          <w:rFonts w:ascii="Times New Roman" w:hAnsi="Times New Roman" w:cs="Times New Roman"/>
          <w:sz w:val="24"/>
          <w:szCs w:val="24"/>
        </w:rPr>
        <w:t>deviation</w:t>
      </w:r>
      <w:r>
        <w:rPr>
          <w:rFonts w:ascii="Times New Roman" w:hAnsi="Times New Roman" w:cs="Times New Roman"/>
          <w:sz w:val="24"/>
          <w:szCs w:val="24"/>
        </w:rPr>
        <w:t xml:space="preserve">; TDF, </w:t>
      </w:r>
      <w:r>
        <w:rPr>
          <w:rFonts w:ascii="Times New Roman" w:eastAsia="宋体" w:hAnsi="Times New Roman" w:cs="Times New Roman"/>
          <w:sz w:val="24"/>
          <w:szCs w:val="24"/>
        </w:rPr>
        <w:t>tenofovir disoproxil fumarate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278" w:rsidRDefault="00DC1278"/>
    <w:sectPr w:rsidR="00DC1278" w:rsidSect="005B6A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F70E21"/>
    <w:rsid w:val="00383BB5"/>
    <w:rsid w:val="005B6AB6"/>
    <w:rsid w:val="00DC1278"/>
    <w:rsid w:val="00F7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01">
    <w:name w:val="font01"/>
    <w:basedOn w:val="DefaultParagraphFont"/>
    <w:qFormat/>
    <w:rsid w:val="00F70E21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2022-07-12T04:11:00Z</dcterms:created>
  <dcterms:modified xsi:type="dcterms:W3CDTF">2022-07-18T06:14:00Z</dcterms:modified>
</cp:coreProperties>
</file>