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31"/>
        <w:tblOverlap w:val="never"/>
        <w:tblW w:w="11380" w:type="dxa"/>
        <w:tblLook w:val="04A0"/>
      </w:tblPr>
      <w:tblGrid>
        <w:gridCol w:w="3148"/>
        <w:gridCol w:w="2266"/>
        <w:gridCol w:w="2587"/>
        <w:gridCol w:w="3379"/>
      </w:tblGrid>
      <w:tr w:rsidR="00D84107" w:rsidTr="00B60D03">
        <w:trPr>
          <w:trHeight w:val="99"/>
        </w:trPr>
        <w:tc>
          <w:tcPr>
            <w:tcW w:w="11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07" w:rsidRDefault="00D84107" w:rsidP="00086502">
            <w:pPr>
              <w:spacing w:after="0" w:line="480" w:lineRule="auto"/>
              <w:contextualSpacing/>
              <w:jc w:val="both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724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Supplementary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724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Table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650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. Characteristics of prior HBV</w:t>
            </w:r>
          </w:p>
        </w:tc>
      </w:tr>
      <w:tr w:rsidR="00D84107" w:rsidTr="00B60D03">
        <w:trPr>
          <w:trHeight w:val="93"/>
        </w:trPr>
        <w:tc>
          <w:tcPr>
            <w:tcW w:w="314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Chronic HBV</w:t>
            </w:r>
          </w:p>
        </w:tc>
        <w:tc>
          <w:tcPr>
            <w:tcW w:w="33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Loss of HBsAg</w:t>
            </w:r>
          </w:p>
        </w:tc>
      </w:tr>
      <w:tr w:rsidR="00D84107" w:rsidTr="00B60D03">
        <w:trPr>
          <w:trHeight w:val="93"/>
        </w:trPr>
        <w:tc>
          <w:tcPr>
            <w:tcW w:w="314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 antigen positive</w:t>
            </w:r>
          </w:p>
        </w:tc>
        <w:tc>
          <w:tcPr>
            <w:tcW w:w="25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e antigen negative</w:t>
            </w:r>
          </w:p>
        </w:tc>
        <w:tc>
          <w:tcPr>
            <w:tcW w:w="33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107" w:rsidTr="00B60D03">
        <w:trPr>
          <w:trHeight w:val="9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30.50±8.58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39.67±2.31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34±8.66</w:t>
            </w:r>
          </w:p>
        </w:tc>
      </w:tr>
      <w:tr w:rsidR="00D84107" w:rsidTr="00B60D03">
        <w:trPr>
          <w:trHeight w:val="11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Male gender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33.3%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66.6%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)</w:t>
            </w:r>
          </w:p>
        </w:tc>
      </w:tr>
      <w:tr w:rsidR="00D84107" w:rsidTr="00B60D03">
        <w:trPr>
          <w:trHeight w:val="11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66.6%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微软雅黑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100%</w:t>
            </w:r>
            <w:r>
              <w:rPr>
                <w:rFonts w:ascii="Times New Roman" w:eastAsia="微软雅黑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D84107" w:rsidTr="00B60D03">
        <w:trPr>
          <w:trHeight w:val="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HBV Genotype (B/C/NA)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2/2/0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1/2/0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1/1/1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D84107" w:rsidTr="00B60D03">
        <w:trPr>
          <w:trHeight w:val="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Serum HBsAg level, IU/mL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4.16±0.63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2.5±0.96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＜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0.05</w:t>
            </w:r>
          </w:p>
        </w:tc>
      </w:tr>
      <w:tr w:rsidR="00D84107" w:rsidTr="00B60D03">
        <w:trPr>
          <w:trHeight w:val="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Serum HBV DNA level, IU/mL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8.01±0.39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3.24±3.58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#</w:t>
            </w:r>
          </w:p>
        </w:tc>
      </w:tr>
      <w:tr w:rsidR="00D84107" w:rsidTr="00B60D03">
        <w:trPr>
          <w:trHeight w:val="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Serum ALT, IU/mL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42±19.41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26±11.53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19.67±24.66</w:t>
            </w:r>
          </w:p>
        </w:tc>
      </w:tr>
      <w:tr w:rsidR="00D84107" w:rsidTr="00B60D03">
        <w:trPr>
          <w:trHeight w:val="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Serum AST, IU/mL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35±10.71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32±16.46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22±11.36</w:t>
            </w:r>
          </w:p>
        </w:tc>
      </w:tr>
      <w:tr w:rsidR="00D84107" w:rsidTr="00B60D03">
        <w:trPr>
          <w:trHeight w:val="9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Integrated sites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</w:tr>
      <w:tr w:rsidR="00D84107" w:rsidTr="00B60D03">
        <w:trPr>
          <w:trHeight w:val="9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Integration in protein-coding gene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Pr="001A08F5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Pr="001A08F5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Pr="001A08F5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D84107" w:rsidTr="00B60D03">
        <w:trPr>
          <w:trHeight w:val="14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Liver cancer driver gene integration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</w:tr>
      <w:tr w:rsidR="00D84107" w:rsidTr="00B60D03">
        <w:trPr>
          <w:trHeight w:val="9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Liver pathology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4107" w:rsidTr="00B60D03">
        <w:trPr>
          <w:trHeight w:val="9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Inflammation, 0/1/2/3/4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0/2/1/1/0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0/2/0/1/0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0/2/1/0/0</w:t>
            </w:r>
          </w:p>
        </w:tc>
      </w:tr>
      <w:tr w:rsidR="00D84107" w:rsidTr="00B60D03">
        <w:trPr>
          <w:trHeight w:val="570"/>
        </w:trPr>
        <w:tc>
          <w:tcPr>
            <w:tcW w:w="314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Fibrosis, 0/1/2/3/4</w:t>
            </w:r>
          </w:p>
        </w:tc>
        <w:tc>
          <w:tcPr>
            <w:tcW w:w="226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1/2/0/1/0</w:t>
            </w:r>
          </w:p>
        </w:tc>
        <w:tc>
          <w:tcPr>
            <w:tcW w:w="258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0/2/0/1/0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0/2/1/0/0</w:t>
            </w:r>
          </w:p>
        </w:tc>
      </w:tr>
      <w:tr w:rsidR="00D84107" w:rsidTr="00B60D03">
        <w:trPr>
          <w:trHeight w:val="570"/>
        </w:trPr>
        <w:tc>
          <w:tcPr>
            <w:tcW w:w="314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84107" w:rsidRDefault="00D84107" w:rsidP="00B60D03">
            <w:pPr>
              <w:spacing w:after="0" w:line="480" w:lineRule="auto"/>
              <w:contextualSpacing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D84107" w:rsidRPr="00C54E3D" w:rsidRDefault="00D84107" w:rsidP="00D841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4107" w:rsidRDefault="00D84107" w:rsidP="00D8410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宋体" w:hAnsi="Times New Roman" w:cs="Times New Roman"/>
          <w:sz w:val="24"/>
          <w:szCs w:val="24"/>
        </w:rPr>
        <w:t xml:space="preserve">Patient N342 was excluded because serum HBsAg was 1092 COI by using another method (details in Methods);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eastAsia="宋体" w:hAnsi="Times New Roman" w:cs="Times New Roman"/>
          <w:sz w:val="24"/>
          <w:szCs w:val="24"/>
        </w:rPr>
        <w:t>Patient N342 was excluded because serum HBV DNA was 1.01 × 10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 xml:space="preserve"> IU/mL by another method (details in Methods)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 xml:space="preserve">Genotype could not be determined because of lack of virus reads (&lt;20 per sample) in patient F807;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宋体" w:hAnsi="Times New Roman" w:cs="Times New Roman"/>
          <w:sz w:val="24"/>
          <w:szCs w:val="24"/>
        </w:rPr>
        <w:t xml:space="preserve">Liver pathology according to Scheuer;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eastAsia="宋体" w:hAnsi="Times New Roman" w:cs="Times New Roman"/>
          <w:sz w:val="24"/>
          <w:szCs w:val="24"/>
        </w:rPr>
        <w:t xml:space="preserve">COBAS did not detect serum HBV DNA &lt;20 IU/mL, or HBV target was not detected. </w:t>
      </w:r>
      <w:r w:rsidRPr="007B21FA">
        <w:rPr>
          <w:rFonts w:ascii="Times New Roman" w:hAnsi="Times New Roman" w:cs="Times New Roman"/>
          <w:sz w:val="24"/>
          <w:szCs w:val="24"/>
        </w:rPr>
        <w:t>ALT,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FA">
        <w:rPr>
          <w:rFonts w:ascii="Times New Roman" w:hAnsi="Times New Roman" w:cs="Times New Roman"/>
          <w:sz w:val="24"/>
          <w:szCs w:val="24"/>
        </w:rPr>
        <w:t>alanine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1FA">
        <w:rPr>
          <w:rFonts w:ascii="Times New Roman" w:hAnsi="Times New Roman" w:cs="Times New Roman"/>
          <w:sz w:val="24"/>
          <w:szCs w:val="24"/>
        </w:rPr>
        <w:t>aminotransferase;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B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ST, a</w:t>
      </w:r>
      <w:r w:rsidRPr="00BD0B37">
        <w:rPr>
          <w:rFonts w:ascii="Times New Roman" w:hAnsi="Times New Roman" w:cs="Times New Roman"/>
          <w:sz w:val="24"/>
          <w:szCs w:val="24"/>
        </w:rPr>
        <w:t>spartate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B37">
        <w:rPr>
          <w:rFonts w:ascii="Times New Roman" w:hAnsi="Times New Roman" w:cs="Times New Roman"/>
          <w:sz w:val="24"/>
          <w:szCs w:val="24"/>
        </w:rPr>
        <w:t>aminotransferase</w:t>
      </w:r>
      <w:r>
        <w:rPr>
          <w:rFonts w:ascii="Times New Roman" w:hAnsi="Times New Roman" w:cs="Times New Roman"/>
          <w:sz w:val="24"/>
          <w:szCs w:val="24"/>
        </w:rPr>
        <w:t>; cccDNA, covalently closed circular DNA; HBsAg, hepatitis B surface antigen; HBV, hepatitis B virus.</w:t>
      </w:r>
    </w:p>
    <w:p w:rsidR="00391084" w:rsidRDefault="00391084"/>
    <w:sectPr w:rsidR="00391084" w:rsidSect="00311DE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89" w:rsidRDefault="00BA1C89" w:rsidP="00311DE2">
      <w:pPr>
        <w:spacing w:after="0" w:line="240" w:lineRule="auto"/>
      </w:pPr>
      <w:r>
        <w:separator/>
      </w:r>
    </w:p>
  </w:endnote>
  <w:endnote w:type="continuationSeparator" w:id="1">
    <w:p w:rsidR="00BA1C89" w:rsidRDefault="00BA1C89" w:rsidP="003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D1" w:rsidRDefault="00391084">
    <w:pPr>
      <w:pStyle w:val="Footer"/>
      <w:jc w:val="right"/>
    </w:pPr>
    <w:r>
      <w:t xml:space="preserve">     </w:t>
    </w:r>
  </w:p>
  <w:p w:rsidR="001B1BD1" w:rsidRDefault="00BA1C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89" w:rsidRDefault="00BA1C89" w:rsidP="00311DE2">
      <w:pPr>
        <w:spacing w:after="0" w:line="240" w:lineRule="auto"/>
      </w:pPr>
      <w:r>
        <w:separator/>
      </w:r>
    </w:p>
  </w:footnote>
  <w:footnote w:type="continuationSeparator" w:id="1">
    <w:p w:rsidR="00BA1C89" w:rsidRDefault="00BA1C89" w:rsidP="00311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107"/>
    <w:rsid w:val="00086502"/>
    <w:rsid w:val="00311DE2"/>
    <w:rsid w:val="00391084"/>
    <w:rsid w:val="009B5D5F"/>
    <w:rsid w:val="00BA1C89"/>
    <w:rsid w:val="00D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107"/>
    <w:pPr>
      <w:tabs>
        <w:tab w:val="center" w:pos="4153"/>
        <w:tab w:val="right" w:pos="8306"/>
      </w:tabs>
      <w:snapToGrid w:val="0"/>
      <w:spacing w:after="160" w:line="240" w:lineRule="auto"/>
    </w:pPr>
    <w:rPr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84107"/>
    <w:rPr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2022-07-12T04:10:00Z</dcterms:created>
  <dcterms:modified xsi:type="dcterms:W3CDTF">2022-07-18T06:13:00Z</dcterms:modified>
</cp:coreProperties>
</file>