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6B9" w:rsidRDefault="002F6D89">
      <w:pPr>
        <w:spacing w:line="312" w:lineRule="auto"/>
        <w:ind w:right="-7"/>
        <w:contextualSpacing/>
        <w:jc w:val="left"/>
        <w:rPr>
          <w:rFonts w:ascii="Times New Roman" w:eastAsia="宋体" w:hAnsi="Times New Roman" w:cs="Times New Roman"/>
          <w:b/>
          <w:bCs/>
          <w:kern w:val="0"/>
          <w:sz w:val="22"/>
          <w:szCs w:val="22"/>
        </w:rPr>
      </w:pPr>
      <w:bookmarkStart w:id="0" w:name="OLE_LINK1"/>
      <w:r>
        <w:rPr>
          <w:rFonts w:ascii="Times New Roman" w:eastAsia="宋体" w:hAnsi="Times New Roman" w:cs="Times New Roman" w:hint="eastAsia"/>
          <w:b/>
          <w:bCs/>
          <w:kern w:val="36"/>
          <w:sz w:val="22"/>
          <w:szCs w:val="22"/>
        </w:rPr>
        <w:t xml:space="preserve">Supplementary </w:t>
      </w:r>
      <w:r>
        <w:rPr>
          <w:rFonts w:ascii="Times New Roman" w:eastAsia="宋体" w:hAnsi="Times New Roman" w:cs="Times New Roman" w:hint="eastAsia"/>
          <w:b/>
          <w:bCs/>
          <w:kern w:val="36"/>
          <w:sz w:val="22"/>
          <w:szCs w:val="22"/>
        </w:rPr>
        <w:t>Material</w:t>
      </w:r>
      <w:r>
        <w:rPr>
          <w:rFonts w:ascii="Times New Roman" w:eastAsia="宋体" w:hAnsi="Times New Roman" w:cs="Times New Roman" w:hint="eastAsia"/>
          <w:b/>
          <w:bCs/>
          <w:kern w:val="36"/>
          <w:sz w:val="22"/>
          <w:szCs w:val="22"/>
        </w:rPr>
        <w:t xml:space="preserve"> S</w:t>
      </w:r>
      <w:r>
        <w:rPr>
          <w:rFonts w:ascii="Times New Roman" w:eastAsia="宋体" w:hAnsi="Times New Roman" w:cs="Times New Roman"/>
          <w:b/>
          <w:bCs/>
          <w:kern w:val="36"/>
          <w:sz w:val="22"/>
          <w:szCs w:val="22"/>
        </w:rPr>
        <w:t>4</w:t>
      </w:r>
      <w:bookmarkEnd w:id="0"/>
      <w:r>
        <w:rPr>
          <w:rFonts w:ascii="Times New Roman" w:eastAsia="宋体" w:hAnsi="Times New Roman" w:cs="Times New Roman"/>
          <w:b/>
          <w:bCs/>
          <w:kern w:val="36"/>
          <w:sz w:val="22"/>
          <w:szCs w:val="22"/>
        </w:rPr>
        <w:t xml:space="preserve">. </w:t>
      </w:r>
      <w:bookmarkStart w:id="1" w:name="_Int_mAKirnCB"/>
      <w:r>
        <w:rPr>
          <w:rFonts w:ascii="Times New Roman" w:eastAsia="宋体" w:hAnsi="Times New Roman" w:cs="Times New Roman"/>
          <w:b/>
          <w:bCs/>
          <w:kern w:val="0"/>
          <w:sz w:val="22"/>
          <w:szCs w:val="22"/>
        </w:rPr>
        <w:t>A short note</w:t>
      </w:r>
      <w:bookmarkEnd w:id="1"/>
      <w:r>
        <w:rPr>
          <w:rFonts w:ascii="Times New Roman" w:eastAsia="宋体" w:hAnsi="Times New Roman" w:cs="Times New Roman"/>
          <w:b/>
          <w:bCs/>
          <w:kern w:val="0"/>
          <w:sz w:val="22"/>
          <w:szCs w:val="22"/>
        </w:rPr>
        <w:t xml:space="preserve"> on history from exhaustive hair growth measurements to calibrated Scalp Coverage Scoring and Hair Mass Index.</w:t>
      </w:r>
    </w:p>
    <w:p w:rsidR="00E266B9" w:rsidRDefault="00E266B9">
      <w:pPr>
        <w:spacing w:line="312" w:lineRule="auto"/>
        <w:ind w:right="-7"/>
        <w:contextualSpacing/>
        <w:jc w:val="left"/>
        <w:rPr>
          <w:rFonts w:ascii="Times New Roman" w:eastAsia="宋体" w:hAnsi="Times New Roman" w:cs="Times New Roman"/>
          <w:kern w:val="0"/>
          <w:sz w:val="22"/>
          <w:szCs w:val="22"/>
        </w:rPr>
      </w:pP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During yearly encounters and discussions with Hugh Rushton about interrelated diameter and linear growth</w:t>
      </w:r>
      <w:r>
        <w:rPr>
          <w:rFonts w:ascii="Times New Roman" w:eastAsia="宋体" w:hAnsi="Times New Roman" w:cs="Times New Roman"/>
          <w:kern w:val="0"/>
          <w:sz w:val="22"/>
          <w:szCs w:val="22"/>
        </w:rPr>
        <w:t xml:space="preserve"> rates</w:t>
      </w:r>
      <w:r>
        <w:rPr>
          <w:rFonts w:ascii="Times New Roman" w:eastAsia="宋体" w:hAnsi="Times New Roman" w:cs="Times New Roman"/>
          <w:kern w:val="0"/>
          <w:sz w:val="22"/>
          <w:szCs w:val="22"/>
          <w:vertAlign w:val="superscript"/>
        </w:rPr>
        <w:t>1,2</w:t>
      </w:r>
      <w:r>
        <w:rPr>
          <w:rFonts w:ascii="Times New Roman" w:eastAsia="宋体" w:hAnsi="Times New Roman" w:cs="Times New Roman"/>
          <w:kern w:val="0"/>
          <w:sz w:val="22"/>
          <w:szCs w:val="22"/>
        </w:rPr>
        <w:t xml:space="preserve">, we developed the concept of Compound Index of Hair Growth (CIHG) and communicated orally in the early 90ies. </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In those early days, hair diameter was measured under the light microscope, and a phototrichogram (PTG composed of 2 images, i.e., a fi</w:t>
      </w:r>
      <w:r>
        <w:rPr>
          <w:rFonts w:ascii="Times New Roman" w:eastAsia="宋体" w:hAnsi="Times New Roman" w:cs="Times New Roman"/>
          <w:kern w:val="0"/>
          <w:sz w:val="22"/>
          <w:szCs w:val="22"/>
        </w:rPr>
        <w:t>rst one immediately after clipping scalp hair and the second one taken after 2-day interval) was analyzed manually. The observer qualified elongation of the hair fiber within 48h and translated this as growth reflecting anagen follicles as opposed to those</w:t>
      </w:r>
      <w:r>
        <w:rPr>
          <w:rFonts w:ascii="Times New Roman" w:eastAsia="宋体" w:hAnsi="Times New Roman" w:cs="Times New Roman"/>
          <w:kern w:val="0"/>
          <w:sz w:val="22"/>
          <w:szCs w:val="22"/>
        </w:rPr>
        <w:t xml:space="preserve"> hair fibers with the same length on both images reflecting telogen or resting stages; the latter might also contain some exogen hair on their way out but still sticking into the hair follicle. Linear growth rates required clipped hair to be collected afte</w:t>
      </w:r>
      <w:r>
        <w:rPr>
          <w:rFonts w:ascii="Times New Roman" w:eastAsia="宋体" w:hAnsi="Times New Roman" w:cs="Times New Roman"/>
          <w:kern w:val="0"/>
          <w:sz w:val="22"/>
          <w:szCs w:val="22"/>
        </w:rPr>
        <w:t>r 30 days post-PTG displayed for length estimates by microscopic examinations. All records were by trained technicians, i.e., many human interventions were associated with potential errors or lack of precision or accuracy.</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In the second step, statistical m</w:t>
      </w:r>
      <w:r>
        <w:rPr>
          <w:rFonts w:ascii="Times New Roman" w:eastAsia="宋体" w:hAnsi="Times New Roman" w:cs="Times New Roman"/>
          <w:kern w:val="0"/>
          <w:sz w:val="22"/>
          <w:szCs w:val="22"/>
        </w:rPr>
        <w:t>ethods were enhanced, and measurements were taken directly from 'source PTG-images.' The quantification process was improved by calibrating tools and precise information on hair diameter and elongation within a very accurately measured time-lapse, utilizin</w:t>
      </w:r>
      <w:r>
        <w:rPr>
          <w:rFonts w:ascii="Times New Roman" w:eastAsia="宋体" w:hAnsi="Times New Roman" w:cs="Times New Roman"/>
          <w:kern w:val="0"/>
          <w:sz w:val="22"/>
          <w:szCs w:val="22"/>
        </w:rPr>
        <w:t>g CCD imaging (Charge Coupled Devices). This marked a significant advancement. Since maintaining the growth phase is crucial over the long term</w:t>
      </w:r>
      <w:r>
        <w:rPr>
          <w:rFonts w:ascii="Times New Roman" w:eastAsia="宋体" w:hAnsi="Times New Roman" w:cs="Times New Roman"/>
          <w:kern w:val="0"/>
          <w:sz w:val="22"/>
          <w:szCs w:val="22"/>
          <w:vertAlign w:val="superscript"/>
        </w:rPr>
        <w:t>3</w:t>
      </w:r>
      <w:r>
        <w:rPr>
          <w:rFonts w:ascii="Times New Roman" w:eastAsia="宋体" w:hAnsi="Times New Roman" w:cs="Times New Roman"/>
          <w:kern w:val="0"/>
          <w:sz w:val="22"/>
          <w:szCs w:val="22"/>
        </w:rPr>
        <w:t>, our approach reported individual variations in hair growth according to scalp site and gender</w:t>
      </w:r>
      <w:r>
        <w:rPr>
          <w:rFonts w:ascii="Times New Roman" w:eastAsia="宋体" w:hAnsi="Times New Roman" w:cs="Times New Roman"/>
          <w:kern w:val="0"/>
          <w:sz w:val="22"/>
          <w:szCs w:val="22"/>
          <w:vertAlign w:val="superscript"/>
        </w:rPr>
        <w:t>4</w:t>
      </w:r>
      <w:r>
        <w:rPr>
          <w:rFonts w:ascii="Times New Roman" w:eastAsia="宋体" w:hAnsi="Times New Roman" w:cs="Times New Roman"/>
          <w:kern w:val="0"/>
          <w:sz w:val="22"/>
          <w:szCs w:val="22"/>
        </w:rPr>
        <w:t>.</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Third Step: Ex</w:t>
      </w:r>
      <w:r>
        <w:rPr>
          <w:rFonts w:ascii="Times New Roman" w:eastAsia="宋体" w:hAnsi="Times New Roman" w:cs="Times New Roman"/>
          <w:kern w:val="0"/>
          <w:sz w:val="22"/>
          <w:szCs w:val="22"/>
        </w:rPr>
        <w:t>ogen (shedding stage) hair fibers were removed from the field, and full-computer-assisted integration of all par</w:t>
      </w:r>
      <w:r>
        <w:rPr>
          <w:rFonts w:ascii="Times New Roman" w:eastAsia="宋体" w:hAnsi="Times New Roman" w:cs="Times New Roman"/>
          <w:kern w:val="0"/>
          <w:sz w:val="22"/>
          <w:szCs w:val="22"/>
        </w:rPr>
        <w:t>ameters on processed PTG images was implemented. This allowed for an exhaustive representation of hair dynamics as cumulative data, encompassing</w:t>
      </w:r>
      <w:r>
        <w:rPr>
          <w:rFonts w:ascii="Times New Roman" w:eastAsia="宋体" w:hAnsi="Times New Roman" w:cs="Times New Roman"/>
          <w:kern w:val="0"/>
          <w:sz w:val="22"/>
          <w:szCs w:val="22"/>
        </w:rPr>
        <w:t xml:space="preserve"> all hair growth variables - expressed as Time To Complete Coverage (TTCC) - during natural progression and potential improvements from drug treatments.</w:t>
      </w:r>
      <w:r>
        <w:rPr>
          <w:rFonts w:ascii="Times New Roman" w:eastAsia="宋体" w:hAnsi="Times New Roman" w:cs="Times New Roman"/>
          <w:kern w:val="0"/>
          <w:sz w:val="22"/>
          <w:szCs w:val="22"/>
          <w:vertAlign w:val="superscript"/>
        </w:rPr>
        <w:t>5</w:t>
      </w:r>
      <w:r>
        <w:rPr>
          <w:rFonts w:ascii="Times New Roman" w:eastAsia="宋体" w:hAnsi="Times New Roman" w:cs="Times New Roman" w:hint="eastAsia"/>
          <w:kern w:val="0"/>
          <w:sz w:val="22"/>
          <w:szCs w:val="22"/>
          <w:vertAlign w:val="superscript"/>
        </w:rPr>
        <w:t>,</w:t>
      </w:r>
      <w:r>
        <w:rPr>
          <w:rFonts w:ascii="Times New Roman" w:eastAsia="宋体" w:hAnsi="Times New Roman" w:cs="Times New Roman"/>
          <w:kern w:val="0"/>
          <w:sz w:val="22"/>
          <w:szCs w:val="22"/>
          <w:vertAlign w:val="superscript"/>
        </w:rPr>
        <w:t>6</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Finally, by integrating all this dynamic data with the clinical classification and quantification of</w:t>
      </w:r>
      <w:r>
        <w:rPr>
          <w:rFonts w:ascii="Times New Roman" w:eastAsia="宋体" w:hAnsi="Times New Roman" w:cs="Times New Roman"/>
          <w:kern w:val="0"/>
          <w:sz w:val="22"/>
          <w:szCs w:val="22"/>
        </w:rPr>
        <w:t xml:space="preserve"> scalp hair coverage scores , we came up with the first calibrated Hair Mass Index (HMI).</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Basically</w:t>
      </w:r>
      <w:r>
        <w:rPr>
          <w:rFonts w:ascii="Times New Roman" w:eastAsia="宋体" w:hAnsi="Times New Roman" w:cs="Times New Roman" w:hint="eastAsia"/>
          <w:kern w:val="0"/>
          <w:sz w:val="22"/>
          <w:szCs w:val="22"/>
        </w:rPr>
        <w:t xml:space="preserve">, </w:t>
      </w:r>
      <w:r>
        <w:rPr>
          <w:rFonts w:ascii="Times New Roman" w:eastAsia="宋体" w:hAnsi="Times New Roman" w:cs="Times New Roman"/>
          <w:kern w:val="0"/>
          <w:sz w:val="22"/>
          <w:szCs w:val="22"/>
        </w:rPr>
        <w:t xml:space="preserve">both the SCS and TTCC methods can </w:t>
      </w:r>
      <w:r>
        <w:rPr>
          <w:rFonts w:ascii="Times New Roman" w:eastAsia="宋体" w:hAnsi="Times New Roman" w:cs="Times New Roman" w:hint="eastAsia"/>
          <w:kern w:val="0"/>
          <w:sz w:val="22"/>
          <w:szCs w:val="22"/>
          <w:highlight w:val="yellow"/>
        </w:rPr>
        <w:t>asses</w:t>
      </w:r>
      <w:r>
        <w:rPr>
          <w:rFonts w:ascii="Times New Roman" w:eastAsia="宋体" w:hAnsi="Times New Roman" w:cs="Times New Roman" w:hint="eastAsia"/>
          <w:kern w:val="0"/>
          <w:sz w:val="22"/>
          <w:szCs w:val="22"/>
          <w:highlight w:val="yellow"/>
        </w:rPr>
        <w:t>s</w:t>
      </w:r>
      <w:r>
        <w:rPr>
          <w:rFonts w:ascii="Times New Roman" w:eastAsia="宋体" w:hAnsi="Times New Roman" w:cs="Times New Roman"/>
          <w:kern w:val="0"/>
          <w:sz w:val="22"/>
          <w:szCs w:val="22"/>
        </w:rPr>
        <w:t xml:space="preserve"> hair coverage and also predict 100% hair coverage over time with treatment, </w:t>
      </w:r>
      <w:r>
        <w:rPr>
          <w:rFonts w:ascii="Times New Roman" w:eastAsia="宋体" w:hAnsi="Times New Roman" w:cs="Times New Roman" w:hint="eastAsia"/>
          <w:kern w:val="0"/>
          <w:sz w:val="22"/>
          <w:szCs w:val="22"/>
        </w:rPr>
        <w:t xml:space="preserve">making </w:t>
      </w:r>
      <w:r>
        <w:rPr>
          <w:rFonts w:ascii="Times New Roman" w:eastAsia="宋体" w:hAnsi="Times New Roman" w:cs="Times New Roman"/>
          <w:kern w:val="0"/>
          <w:sz w:val="22"/>
          <w:szCs w:val="22"/>
        </w:rPr>
        <w:t>both highly relevant to the pat</w:t>
      </w:r>
      <w:r>
        <w:rPr>
          <w:rFonts w:ascii="Times New Roman" w:eastAsia="宋体" w:hAnsi="Times New Roman" w:cs="Times New Roman"/>
          <w:kern w:val="0"/>
          <w:sz w:val="22"/>
          <w:szCs w:val="22"/>
        </w:rPr>
        <w:t>ient</w:t>
      </w:r>
      <w:r>
        <w:rPr>
          <w:rFonts w:ascii="Times New Roman" w:eastAsia="宋体" w:hAnsi="Times New Roman" w:cs="Times New Roman" w:hint="eastAsia"/>
          <w:kern w:val="0"/>
          <w:sz w:val="22"/>
          <w:szCs w:val="22"/>
        </w:rPr>
        <w:t xml:space="preserve"> care</w:t>
      </w:r>
      <w:r>
        <w:rPr>
          <w:rFonts w:ascii="Times New Roman" w:eastAsia="宋体" w:hAnsi="Times New Roman" w:cs="Times New Roman"/>
          <w:kern w:val="0"/>
          <w:sz w:val="22"/>
          <w:szCs w:val="22"/>
        </w:rPr>
        <w:t>.</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We also reasoned that transit from images to data with clinical relevance through global imaging could be improved by segmentation of the top of the head as shown in the main manuscript i.e. in Figure 1d. Employing a 5-point coverage scale</w:t>
      </w:r>
      <w:r>
        <w:rPr>
          <w:rFonts w:ascii="Times New Roman" w:eastAsia="宋体" w:hAnsi="Times New Roman" w:cs="Times New Roman"/>
          <w:kern w:val="0"/>
          <w:sz w:val="22"/>
          <w:szCs w:val="22"/>
          <w:vertAlign w:val="superscript"/>
        </w:rPr>
        <w:t xml:space="preserve">6 </w:t>
      </w:r>
      <w:r>
        <w:rPr>
          <w:rFonts w:ascii="Times New Roman" w:eastAsia="宋体" w:hAnsi="Times New Roman" w:cs="Times New Roman"/>
          <w:kern w:val="0"/>
          <w:sz w:val="22"/>
          <w:szCs w:val="22"/>
        </w:rPr>
        <w:t>we i</w:t>
      </w:r>
      <w:r>
        <w:rPr>
          <w:rFonts w:ascii="Times New Roman" w:eastAsia="宋体" w:hAnsi="Times New Roman" w:cs="Times New Roman"/>
          <w:kern w:val="0"/>
          <w:sz w:val="22"/>
          <w:szCs w:val="22"/>
        </w:rPr>
        <w:t>nitially scored the total top of the head (d: upper panel; 9+9=18 fields) on the posterior aspect of the top of the head (1-9 bold type) or more peripheral areas (1-9 italic type) with hair combed as spokes of a wheel</w:t>
      </w:r>
      <w:r>
        <w:rPr>
          <w:rFonts w:ascii="Times New Roman" w:eastAsia="宋体" w:hAnsi="Times New Roman" w:cs="Times New Roman"/>
          <w:kern w:val="0"/>
          <w:sz w:val="22"/>
          <w:szCs w:val="22"/>
          <w:vertAlign w:val="superscript"/>
        </w:rPr>
        <w:t>6</w:t>
      </w:r>
      <w:r>
        <w:rPr>
          <w:rFonts w:ascii="Times New Roman" w:eastAsia="宋体" w:hAnsi="Times New Roman" w:cs="Times New Roman"/>
          <w:kern w:val="0"/>
          <w:sz w:val="22"/>
          <w:szCs w:val="22"/>
        </w:rPr>
        <w:t xml:space="preserve">. We pursued our imaging with parting </w:t>
      </w:r>
      <w:r>
        <w:rPr>
          <w:rFonts w:ascii="Times New Roman" w:eastAsia="宋体" w:hAnsi="Times New Roman" w:cs="Times New Roman"/>
          <w:kern w:val="0"/>
          <w:sz w:val="22"/>
          <w:szCs w:val="22"/>
        </w:rPr>
        <w:t>hair along the midline and scoring on parted dry hair (d lower panel; 4 separate fields p1 to p4</w:t>
      </w:r>
      <w:r>
        <w:rPr>
          <w:rFonts w:ascii="Times New Roman" w:eastAsia="宋体" w:hAnsi="Times New Roman" w:cs="Times New Roman"/>
          <w:kern w:val="0"/>
          <w:sz w:val="22"/>
          <w:szCs w:val="22"/>
          <w:vertAlign w:val="superscript"/>
        </w:rPr>
        <w:t>6</w:t>
      </w:r>
      <w:r>
        <w:rPr>
          <w:rFonts w:ascii="Times New Roman" w:eastAsia="宋体" w:hAnsi="Times New Roman" w:cs="Times New Roman"/>
          <w:kern w:val="0"/>
          <w:sz w:val="22"/>
          <w:szCs w:val="22"/>
        </w:rPr>
        <w:t>). This global scoring method copes with the diversity of real patterns shown in Figure 1e. Also, from longitudinal 5-year placebo studies</w:t>
      </w:r>
      <w:r>
        <w:rPr>
          <w:rFonts w:ascii="Times New Roman" w:eastAsia="宋体" w:hAnsi="Times New Roman" w:cs="Times New Roman"/>
          <w:kern w:val="0"/>
          <w:sz w:val="22"/>
          <w:szCs w:val="22"/>
          <w:vertAlign w:val="superscript"/>
        </w:rPr>
        <w:t>7</w:t>
      </w:r>
      <w:r>
        <w:rPr>
          <w:rFonts w:ascii="Times New Roman" w:eastAsia="宋体" w:hAnsi="Times New Roman" w:cs="Times New Roman"/>
          <w:kern w:val="0"/>
          <w:sz w:val="22"/>
          <w:szCs w:val="22"/>
        </w:rPr>
        <w:t xml:space="preserve">, we estimated that </w:t>
      </w:r>
      <w:r>
        <w:rPr>
          <w:rFonts w:ascii="Times New Roman" w:eastAsia="宋体" w:hAnsi="Times New Roman" w:cs="Times New Roman"/>
          <w:kern w:val="0"/>
          <w:sz w:val="22"/>
          <w:szCs w:val="22"/>
        </w:rPr>
        <w:t>detection of reduced hair density using only schematic cartoons as a guide would probably require over 5 years (illustrated in Figure 1f) as opposed to a much shorter duration as with objective methods (i.e. properly calibrated and validated phototrichogra</w:t>
      </w:r>
      <w:r>
        <w:rPr>
          <w:rFonts w:ascii="Times New Roman" w:eastAsia="宋体" w:hAnsi="Times New Roman" w:cs="Times New Roman"/>
          <w:kern w:val="0"/>
          <w:sz w:val="22"/>
          <w:szCs w:val="22"/>
        </w:rPr>
        <w:t xml:space="preserve">m). However, many repeat sessions are required to detect clinically significant changes in a fluctuating continuum explored with the phototrichogram and specific imaging equipment, with associated software and precise site maintenance e.g. by tattoo. </w:t>
      </w:r>
      <w:r>
        <w:rPr>
          <w:rFonts w:ascii="Times New Roman" w:eastAsia="宋体" w:hAnsi="Times New Roman" w:cs="Times New Roman" w:hint="eastAsia"/>
          <w:kern w:val="0"/>
          <w:sz w:val="22"/>
          <w:szCs w:val="22"/>
        </w:rPr>
        <w:t>Furth</w:t>
      </w:r>
      <w:r>
        <w:rPr>
          <w:rFonts w:ascii="Times New Roman" w:eastAsia="宋体" w:hAnsi="Times New Roman" w:cs="Times New Roman" w:hint="eastAsia"/>
          <w:kern w:val="0"/>
          <w:sz w:val="22"/>
          <w:szCs w:val="22"/>
        </w:rPr>
        <w:t>ermore, hair</w:t>
      </w:r>
      <w:r>
        <w:rPr>
          <w:rFonts w:ascii="Times New Roman" w:eastAsia="宋体" w:hAnsi="Times New Roman" w:cs="Times New Roman"/>
          <w:kern w:val="0"/>
          <w:sz w:val="22"/>
          <w:szCs w:val="22"/>
        </w:rPr>
        <w:t xml:space="preserve"> must be clipped and dyed requiring visits </w:t>
      </w:r>
      <w:r>
        <w:rPr>
          <w:rFonts w:ascii="Times New Roman" w:eastAsia="宋体" w:hAnsi="Times New Roman" w:cs="Times New Roman" w:hint="eastAsia"/>
          <w:kern w:val="0"/>
          <w:sz w:val="22"/>
          <w:szCs w:val="22"/>
        </w:rPr>
        <w:t>twice</w:t>
      </w:r>
      <w:r>
        <w:rPr>
          <w:rFonts w:ascii="Times New Roman" w:eastAsia="宋体" w:hAnsi="Times New Roman" w:cs="Times New Roman"/>
          <w:kern w:val="0"/>
          <w:sz w:val="22"/>
          <w:szCs w:val="22"/>
        </w:rPr>
        <w:t xml:space="preserve"> in just a few days</w:t>
      </w:r>
      <w:r>
        <w:rPr>
          <w:rFonts w:ascii="Times New Roman" w:eastAsia="宋体" w:hAnsi="Times New Roman" w:cs="Times New Roman"/>
          <w:kern w:val="0"/>
          <w:sz w:val="22"/>
          <w:szCs w:val="22"/>
          <w:vertAlign w:val="superscript"/>
        </w:rPr>
        <w:t>6</w:t>
      </w:r>
      <w:r>
        <w:rPr>
          <w:rFonts w:ascii="Times New Roman" w:eastAsia="宋体" w:hAnsi="Times New Roman" w:cs="Times New Roman"/>
          <w:kern w:val="0"/>
          <w:sz w:val="22"/>
          <w:szCs w:val="22"/>
        </w:rPr>
        <w:t>. Thus, there is a gap in the available clinical evaluation methods that can use the global photograph, but with the precision and reproducibility of repeated monthly phototric</w:t>
      </w:r>
      <w:r>
        <w:rPr>
          <w:rFonts w:ascii="Times New Roman" w:eastAsia="宋体" w:hAnsi="Times New Roman" w:cs="Times New Roman"/>
          <w:kern w:val="0"/>
          <w:sz w:val="22"/>
          <w:szCs w:val="22"/>
        </w:rPr>
        <w:t>hograms without needing clipping and dyeing or high-precision site maintenance.</w:t>
      </w:r>
    </w:p>
    <w:p w:rsidR="00E266B9" w:rsidRDefault="00E266B9">
      <w:pPr>
        <w:spacing w:line="312" w:lineRule="auto"/>
        <w:ind w:right="-7"/>
        <w:contextualSpacing/>
        <w:jc w:val="left"/>
        <w:rPr>
          <w:rFonts w:ascii="Times New Roman" w:eastAsia="宋体" w:hAnsi="Times New Roman" w:cs="Times New Roman"/>
          <w:kern w:val="0"/>
          <w:sz w:val="22"/>
          <w:szCs w:val="22"/>
        </w:rPr>
      </w:pP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 xml:space="preserve">Furthermore, HMI has been quoted in a small number of papers traced during the last 10 years on </w:t>
      </w:r>
      <w:r>
        <w:rPr>
          <w:rFonts w:ascii="Times New Roman" w:eastAsia="宋体" w:hAnsi="Times New Roman" w:cs="Times New Roman"/>
          <w:color w:val="FF0000"/>
          <w:kern w:val="0"/>
          <w:sz w:val="22"/>
          <w:szCs w:val="22"/>
        </w:rPr>
        <w:t>Medline</w:t>
      </w:r>
      <w:r>
        <w:rPr>
          <w:rFonts w:ascii="Times New Roman" w:eastAsia="宋体" w:hAnsi="Times New Roman" w:cs="Times New Roman"/>
          <w:color w:val="FF0000"/>
          <w:kern w:val="0"/>
          <w:sz w:val="22"/>
          <w:szCs w:val="22"/>
          <w:vertAlign w:val="superscript"/>
        </w:rPr>
        <w:t>8-11</w:t>
      </w:r>
      <w:r>
        <w:rPr>
          <w:rFonts w:ascii="Times New Roman" w:eastAsia="宋体" w:hAnsi="Times New Roman" w:cs="Times New Roman"/>
          <w:kern w:val="0"/>
          <w:sz w:val="22"/>
          <w:szCs w:val="22"/>
        </w:rPr>
        <w:t xml:space="preserve"> </w:t>
      </w:r>
      <w:r>
        <w:rPr>
          <w:rFonts w:ascii="Times New Roman" w:eastAsia="宋体" w:hAnsi="Times New Roman" w:cs="Times New Roman"/>
          <w:kern w:val="0"/>
          <w:sz w:val="22"/>
          <w:szCs w:val="22"/>
        </w:rPr>
        <w:t xml:space="preserve">and is quite popular on various websites. However, HMI does not </w:t>
      </w:r>
      <w:r>
        <w:rPr>
          <w:rFonts w:ascii="Times New Roman" w:eastAsia="宋体" w:hAnsi="Times New Roman" w:cs="Times New Roman"/>
          <w:kern w:val="0"/>
          <w:sz w:val="22"/>
          <w:szCs w:val="22"/>
        </w:rPr>
        <w:t xml:space="preserve">mean thorough calibration occurred </w:t>
      </w:r>
      <w:r>
        <w:rPr>
          <w:rFonts w:ascii="Times New Roman" w:eastAsia="宋体" w:hAnsi="Times New Roman" w:cs="Times New Roman"/>
          <w:kern w:val="0"/>
          <w:sz w:val="22"/>
          <w:szCs w:val="22"/>
        </w:rPr>
        <w:lastRenderedPageBreak/>
        <w:t>beforehand, i.e., it is yet another qualitative classification with uncertainties in quantification. We underscore that the HMI abacus applies only in slowly progressing and non-inflammatory conditions.</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To expand the rang</w:t>
      </w:r>
      <w:r>
        <w:rPr>
          <w:rFonts w:ascii="Times New Roman" w:eastAsia="宋体" w:hAnsi="Times New Roman" w:cs="Times New Roman"/>
          <w:kern w:val="0"/>
          <w:sz w:val="22"/>
          <w:szCs w:val="22"/>
        </w:rPr>
        <w:t xml:space="preserve">e of data, we include extreme values on a graphic display. Given a 2-dimensional projection of images in a plane, it is clear that SCS cannot exceed 100%. The HMI abacus was developed based on observations of diffuse hair loss that was not associated with </w:t>
      </w:r>
      <w:r>
        <w:rPr>
          <w:rFonts w:ascii="Times New Roman" w:eastAsia="宋体" w:hAnsi="Times New Roman" w:cs="Times New Roman"/>
          <w:kern w:val="0"/>
          <w:sz w:val="22"/>
          <w:szCs w:val="22"/>
        </w:rPr>
        <w:t>inflammatory conditions.</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Nonetheless, we aimed to explore the limits by approaching the right side of the graph. In cases clinically referred to as ‘diffuse hair loss’ that are severe cases of alopecia areata, only a few hairs remain present. We documented</w:t>
      </w:r>
      <w:r>
        <w:rPr>
          <w:rFonts w:ascii="Times New Roman" w:eastAsia="宋体" w:hAnsi="Times New Roman" w:cs="Times New Roman"/>
          <w:kern w:val="0"/>
          <w:sz w:val="22"/>
          <w:szCs w:val="22"/>
        </w:rPr>
        <w:t xml:space="preserve"> 0% anagen hair and were able to predict total hair loss within the upcoming months. These extreme cases illustrate both the theoretical value of the HMI abacus and the limitations of the correlation between SCS and clinical estimation of growth potential—</w:t>
      </w:r>
      <w:r>
        <w:rPr>
          <w:rFonts w:ascii="Times New Roman" w:eastAsia="宋体" w:hAnsi="Times New Roman" w:cs="Times New Roman"/>
          <w:kern w:val="0"/>
          <w:sz w:val="22"/>
          <w:szCs w:val="22"/>
        </w:rPr>
        <w:t>a truth that might apply to most technologies.</w:t>
      </w:r>
    </w:p>
    <w:p w:rsidR="00E266B9" w:rsidRDefault="00E266B9">
      <w:pPr>
        <w:spacing w:line="312" w:lineRule="auto"/>
        <w:ind w:right="-7"/>
        <w:contextualSpacing/>
        <w:jc w:val="left"/>
        <w:rPr>
          <w:rFonts w:ascii="Times New Roman" w:eastAsia="宋体" w:hAnsi="Times New Roman" w:cs="Times New Roman"/>
          <w:kern w:val="0"/>
          <w:sz w:val="22"/>
          <w:szCs w:val="22"/>
        </w:rPr>
      </w:pPr>
    </w:p>
    <w:p w:rsidR="00E266B9" w:rsidRDefault="002F6D89">
      <w:pPr>
        <w:spacing w:line="312" w:lineRule="auto"/>
        <w:ind w:right="-7"/>
        <w:contextualSpacing/>
        <w:jc w:val="left"/>
        <w:rPr>
          <w:rFonts w:ascii="Times New Roman" w:eastAsia="宋体" w:hAnsi="Times New Roman" w:cs="Times New Roman"/>
          <w:kern w:val="0"/>
          <w:sz w:val="22"/>
          <w:szCs w:val="22"/>
        </w:rPr>
      </w:pPr>
      <w:bookmarkStart w:id="2" w:name="OLE_LINK12"/>
      <w:r>
        <w:rPr>
          <w:rFonts w:ascii="Times New Roman" w:eastAsia="宋体" w:hAnsi="Times New Roman" w:cs="Times New Roman"/>
          <w:b/>
          <w:bCs/>
          <w:kern w:val="0"/>
          <w:sz w:val="22"/>
          <w:szCs w:val="22"/>
        </w:rPr>
        <w:t>Figure</w:t>
      </w:r>
      <w:r>
        <w:rPr>
          <w:rFonts w:ascii="Times New Roman" w:eastAsia="宋体" w:hAnsi="Times New Roman" w:cs="Times New Roman" w:hint="eastAsia"/>
          <w:b/>
          <w:bCs/>
          <w:kern w:val="0"/>
          <w:sz w:val="22"/>
          <w:szCs w:val="22"/>
        </w:rPr>
        <w:t xml:space="preserve"> </w:t>
      </w:r>
      <w:r>
        <w:rPr>
          <w:rFonts w:ascii="Times New Roman" w:eastAsia="宋体" w:hAnsi="Times New Roman" w:cs="Times New Roman"/>
          <w:b/>
          <w:bCs/>
          <w:kern w:val="0"/>
          <w:sz w:val="22"/>
          <w:szCs w:val="22"/>
        </w:rPr>
        <w:t>S4</w:t>
      </w:r>
      <w:bookmarkEnd w:id="2"/>
      <w:r>
        <w:rPr>
          <w:rFonts w:ascii="Times New Roman" w:eastAsia="宋体" w:hAnsi="Times New Roman" w:cs="Times New Roman" w:hint="eastAsia"/>
          <w:b/>
          <w:bCs/>
          <w:kern w:val="0"/>
          <w:sz w:val="22"/>
          <w:szCs w:val="22"/>
        </w:rPr>
        <w:t xml:space="preserve">. </w:t>
      </w:r>
      <w:r>
        <w:rPr>
          <w:rFonts w:ascii="Times New Roman" w:eastAsia="宋体" w:hAnsi="Times New Roman" w:cs="Times New Roman"/>
          <w:b/>
          <w:bCs/>
          <w:kern w:val="0"/>
          <w:sz w:val="22"/>
          <w:szCs w:val="22"/>
        </w:rPr>
        <w:t>Hair Mass Index abacus (HMI).</w:t>
      </w:r>
      <w:r>
        <w:rPr>
          <w:rFonts w:ascii="Times New Roman" w:eastAsia="宋体" w:hAnsi="Times New Roman" w:cs="Times New Roman"/>
          <w:kern w:val="0"/>
          <w:sz w:val="22"/>
          <w:szCs w:val="22"/>
        </w:rPr>
        <w:t xml:space="preserve"> This HMI (</w:t>
      </w:r>
      <w:bookmarkStart w:id="3" w:name="OLE_LINK13"/>
      <w:r>
        <w:rPr>
          <w:rFonts w:ascii="Times New Roman" w:eastAsia="宋体" w:hAnsi="Times New Roman" w:cs="Times New Roman" w:hint="eastAsia"/>
          <w:kern w:val="0"/>
          <w:sz w:val="22"/>
          <w:szCs w:val="22"/>
        </w:rPr>
        <w:t>Figure S4</w:t>
      </w:r>
      <w:r>
        <w:rPr>
          <w:rFonts w:ascii="Times New Roman" w:eastAsia="宋体" w:hAnsi="Times New Roman" w:cs="Times New Roman"/>
          <w:kern w:val="0"/>
          <w:sz w:val="22"/>
          <w:szCs w:val="22"/>
        </w:rPr>
        <w:t>a</w:t>
      </w:r>
      <w:bookmarkEnd w:id="3"/>
      <w:r>
        <w:rPr>
          <w:rFonts w:ascii="Times New Roman" w:eastAsia="宋体" w:hAnsi="Times New Roman" w:cs="Times New Roman"/>
          <w:kern w:val="0"/>
          <w:sz w:val="22"/>
          <w:szCs w:val="22"/>
        </w:rPr>
        <w:t xml:space="preserve"> ) mathematically interrelates the scalp coverage score (SCS%Max on the y-axis) and the time required to completely cover the region of interest (T</w:t>
      </w:r>
      <w:r>
        <w:rPr>
          <w:rFonts w:ascii="Times New Roman" w:eastAsia="宋体" w:hAnsi="Times New Roman" w:cs="Times New Roman"/>
          <w:kern w:val="0"/>
          <w:sz w:val="22"/>
          <w:szCs w:val="22"/>
        </w:rPr>
        <w:t>TCC, days) based on computation of 504 subjects (normal and complaining of hair loss as detailed elsewhere</w:t>
      </w:r>
      <w:r>
        <w:rPr>
          <w:rFonts w:ascii="Times New Roman" w:eastAsia="宋体" w:hAnsi="Times New Roman" w:cs="Times New Roman"/>
          <w:kern w:val="0"/>
          <w:sz w:val="22"/>
          <w:szCs w:val="22"/>
          <w:vertAlign w:val="superscript"/>
        </w:rPr>
        <w:t>6</w:t>
      </w:r>
      <w:r>
        <w:rPr>
          <w:rFonts w:ascii="Times New Roman" w:eastAsia="宋体" w:hAnsi="Times New Roman" w:cs="Times New Roman"/>
          <w:kern w:val="0"/>
          <w:sz w:val="22"/>
          <w:szCs w:val="22"/>
        </w:rPr>
        <w:t>).</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While the HMI abacus shows the regression line based on diffuse hair loss unrelated to inflammatory conditions, we wished to explore the methodolo</w:t>
      </w:r>
      <w:r>
        <w:rPr>
          <w:rFonts w:ascii="Times New Roman" w:eastAsia="宋体" w:hAnsi="Times New Roman" w:cs="Times New Roman"/>
          <w:kern w:val="0"/>
          <w:sz w:val="22"/>
          <w:szCs w:val="22"/>
        </w:rPr>
        <w:t>gical limits and challenge the theory.</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 xml:space="preserve">With a 2-dimensional projection of images in a plane </w:t>
      </w:r>
      <w:r>
        <w:rPr>
          <w:rFonts w:ascii="Times New Roman" w:eastAsia="宋体" w:hAnsi="Times New Roman" w:cs="Times New Roman" w:hint="eastAsia"/>
          <w:kern w:val="0"/>
          <w:sz w:val="22"/>
          <w:szCs w:val="22"/>
        </w:rPr>
        <w:t>(Figure S4a)</w:t>
      </w:r>
      <w:r>
        <w:rPr>
          <w:rFonts w:ascii="Times New Roman" w:eastAsia="宋体" w:hAnsi="Times New Roman" w:cs="Times New Roman"/>
          <w:kern w:val="0"/>
          <w:sz w:val="22"/>
          <w:szCs w:val="22"/>
        </w:rPr>
        <w:t>, it seems evident that SCS cannot exceed 100%. This appears as a grey zone (upper left corner of the abacus; C1). Cluster C1 displays optimal SCS (&gt;90%</w:t>
      </w:r>
      <w:r>
        <w:rPr>
          <w:rFonts w:ascii="Times New Roman" w:eastAsia="宋体" w:hAnsi="Times New Roman" w:cs="Times New Roman"/>
          <w:kern w:val="0"/>
          <w:sz w:val="22"/>
          <w:szCs w:val="22"/>
        </w:rPr>
        <w:t>) and TTCC (&lt;21 days) in controls and patients with significant amounts of hair and experiencing initial (subclinical or clinically non-relevant) hair loss.</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 xml:space="preserve">The general practitioner considered the patient appearing in panel </w:t>
      </w:r>
      <w:bookmarkStart w:id="4" w:name="OLE_LINK2"/>
      <w:r>
        <w:rPr>
          <w:rFonts w:ascii="Times New Roman" w:eastAsia="宋体" w:hAnsi="Times New Roman" w:cs="Times New Roman"/>
          <w:b/>
          <w:bCs/>
          <w:kern w:val="0"/>
          <w:sz w:val="22"/>
          <w:szCs w:val="22"/>
          <w:highlight w:val="yellow"/>
        </w:rPr>
        <w:t>b</w:t>
      </w:r>
      <w:bookmarkEnd w:id="4"/>
      <w:r>
        <w:rPr>
          <w:rFonts w:ascii="Times New Roman" w:eastAsia="宋体" w:hAnsi="Times New Roman" w:cs="Times New Roman"/>
          <w:kern w:val="0"/>
          <w:sz w:val="22"/>
          <w:szCs w:val="22"/>
        </w:rPr>
        <w:t xml:space="preserve"> as having androgen-related hair loss. Upon referral, we thought somewhat of alopecia areata incognita. Scalp Coverage Score in August (a global view on the left with a red dot) was 85%</w:t>
      </w:r>
      <w:r>
        <w:rPr>
          <w:rFonts w:ascii="Times New Roman" w:eastAsia="宋体" w:hAnsi="Times New Roman" w:cs="Times New Roman" w:hint="eastAsia"/>
          <w:kern w:val="0"/>
          <w:sz w:val="22"/>
          <w:szCs w:val="22"/>
        </w:rPr>
        <w:t xml:space="preserve"> (Figure S4b)</w:t>
      </w:r>
      <w:r>
        <w:rPr>
          <w:rFonts w:ascii="Times New Roman" w:eastAsia="宋体" w:hAnsi="Times New Roman" w:cs="Times New Roman"/>
          <w:kern w:val="0"/>
          <w:sz w:val="22"/>
          <w:szCs w:val="22"/>
        </w:rPr>
        <w:t>. The region of interest (ROI) where the phototrichogram w</w:t>
      </w:r>
      <w:r>
        <w:rPr>
          <w:rFonts w:ascii="Times New Roman" w:eastAsia="宋体" w:hAnsi="Times New Roman" w:cs="Times New Roman"/>
          <w:kern w:val="0"/>
          <w:sz w:val="22"/>
          <w:szCs w:val="22"/>
        </w:rPr>
        <w:t xml:space="preserve">as performed is shown as a black ring. The ROI (August; the image on the left) showed a total density of 103 hair/cm2, dispatched as 20% thinner (diameter ≤30µm) or terminal (diameter&gt;40µm) hair. Anagen counts were </w:t>
      </w:r>
      <w:bookmarkStart w:id="5" w:name="_Int_00QtelUb"/>
      <w:r>
        <w:rPr>
          <w:rFonts w:ascii="Times New Roman" w:eastAsia="宋体" w:hAnsi="Times New Roman" w:cs="Times New Roman"/>
          <w:kern w:val="0"/>
          <w:sz w:val="22"/>
          <w:szCs w:val="22"/>
        </w:rPr>
        <w:t>very low</w:t>
      </w:r>
      <w:bookmarkEnd w:id="5"/>
      <w:r>
        <w:rPr>
          <w:rFonts w:ascii="Times New Roman" w:eastAsia="宋体" w:hAnsi="Times New Roman" w:cs="Times New Roman"/>
          <w:kern w:val="0"/>
          <w:sz w:val="22"/>
          <w:szCs w:val="22"/>
        </w:rPr>
        <w:t xml:space="preserve"> in the thinner hair (7% anagen),</w:t>
      </w:r>
      <w:r>
        <w:rPr>
          <w:rFonts w:ascii="Times New Roman" w:eastAsia="宋体" w:hAnsi="Times New Roman" w:cs="Times New Roman"/>
          <w:kern w:val="0"/>
          <w:sz w:val="22"/>
          <w:szCs w:val="22"/>
        </w:rPr>
        <w:t xml:space="preserve"> and we did not find a single terminal hair (0% anagen). The clinical pictures illustrate regression in 2 months to total alopecia (image on the right; October) and SCS almost 0%Max. </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This clinical observation illustrated in panel</w:t>
      </w:r>
      <w:r>
        <w:rPr>
          <w:rFonts w:ascii="Times New Roman" w:eastAsia="宋体" w:hAnsi="Times New Roman" w:cs="Times New Roman"/>
          <w:kern w:val="0"/>
          <w:sz w:val="22"/>
          <w:szCs w:val="22"/>
          <w:highlight w:val="yellow"/>
        </w:rPr>
        <w:t xml:space="preserve"> </w:t>
      </w:r>
      <w:r>
        <w:rPr>
          <w:rFonts w:ascii="Times New Roman" w:eastAsia="宋体" w:hAnsi="Times New Roman" w:cs="Times New Roman" w:hint="eastAsia"/>
          <w:b/>
          <w:bCs/>
          <w:kern w:val="0"/>
          <w:sz w:val="22"/>
          <w:szCs w:val="22"/>
          <w:highlight w:val="yellow"/>
        </w:rPr>
        <w:t>b</w:t>
      </w:r>
      <w:r>
        <w:rPr>
          <w:rFonts w:ascii="Times New Roman" w:eastAsia="宋体" w:hAnsi="Times New Roman" w:cs="Times New Roman"/>
          <w:kern w:val="0"/>
          <w:sz w:val="22"/>
          <w:szCs w:val="22"/>
          <w:highlight w:val="yellow"/>
        </w:rPr>
        <w:t xml:space="preserve"> </w:t>
      </w:r>
      <w:r>
        <w:rPr>
          <w:rFonts w:ascii="Times New Roman" w:eastAsia="宋体" w:hAnsi="Times New Roman" w:cs="Times New Roman"/>
          <w:kern w:val="0"/>
          <w:sz w:val="22"/>
          <w:szCs w:val="22"/>
        </w:rPr>
        <w:t>that an initial SCS % M</w:t>
      </w:r>
      <w:r>
        <w:rPr>
          <w:rFonts w:ascii="Times New Roman" w:eastAsia="宋体" w:hAnsi="Times New Roman" w:cs="Times New Roman"/>
          <w:kern w:val="0"/>
          <w:sz w:val="22"/>
          <w:szCs w:val="22"/>
        </w:rPr>
        <w:t xml:space="preserve">ax </w:t>
      </w:r>
      <w:r>
        <w:rPr>
          <w:rFonts w:ascii="Times New Roman" w:eastAsia="宋体" w:hAnsi="Times New Roman" w:cs="Times New Roman" w:hint="eastAsia"/>
          <w:kern w:val="0"/>
          <w:sz w:val="22"/>
          <w:szCs w:val="22"/>
        </w:rPr>
        <w:t>(</w:t>
      </w:r>
      <w:r>
        <w:rPr>
          <w:rFonts w:ascii="Times New Roman" w:eastAsia="宋体" w:hAnsi="Times New Roman" w:cs="Times New Roman" w:hint="eastAsia"/>
          <w:kern w:val="0"/>
          <w:sz w:val="22"/>
          <w:szCs w:val="22"/>
          <w:highlight w:val="yellow"/>
        </w:rPr>
        <w:t xml:space="preserve">panel </w:t>
      </w:r>
      <w:r>
        <w:rPr>
          <w:rFonts w:ascii="Times New Roman" w:eastAsia="宋体" w:hAnsi="Times New Roman" w:cs="Times New Roman" w:hint="eastAsia"/>
          <w:b/>
          <w:bCs/>
          <w:kern w:val="0"/>
          <w:sz w:val="22"/>
          <w:szCs w:val="22"/>
          <w:highlight w:val="yellow"/>
        </w:rPr>
        <w:t>a</w:t>
      </w:r>
      <w:r>
        <w:rPr>
          <w:rFonts w:ascii="Times New Roman" w:eastAsia="宋体" w:hAnsi="Times New Roman" w:cs="Times New Roman" w:hint="eastAsia"/>
          <w:kern w:val="0"/>
          <w:sz w:val="22"/>
          <w:szCs w:val="22"/>
        </w:rPr>
        <w:t xml:space="preserve">) </w:t>
      </w:r>
      <w:r>
        <w:rPr>
          <w:rFonts w:ascii="Times New Roman" w:eastAsia="宋体" w:hAnsi="Times New Roman" w:cs="Times New Roman"/>
          <w:kern w:val="0"/>
          <w:sz w:val="22"/>
          <w:szCs w:val="22"/>
        </w:rPr>
        <w:t>dropped from the initial August (85%, red dot) to the October (SCS%Max 0%, blue-turquoise dot) while maintaining TTCC at ∞. This infinite TTCC cannot be marked on the x-axis but is shown as ∞ in the right margin). This point is located well be</w:t>
      </w:r>
      <w:r>
        <w:rPr>
          <w:rFonts w:ascii="Times New Roman" w:eastAsia="宋体" w:hAnsi="Times New Roman" w:cs="Times New Roman"/>
          <w:kern w:val="0"/>
          <w:sz w:val="22"/>
          <w:szCs w:val="22"/>
        </w:rPr>
        <w:t xml:space="preserve">yond the limits of our HMI-regression line. </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 xml:space="preserve">The initial SCS, along with the clinical image, helps to understand the erroneous diagnosis of the general practitioner. </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Whatever the amount of hair initially present along with an acceptable SCS, and when pati</w:t>
      </w:r>
      <w:r>
        <w:rPr>
          <w:rFonts w:ascii="Times New Roman" w:eastAsia="宋体" w:hAnsi="Times New Roman" w:cs="Times New Roman"/>
          <w:kern w:val="0"/>
          <w:sz w:val="22"/>
          <w:szCs w:val="22"/>
        </w:rPr>
        <w:t>ents are referred to for ‘diffuse hair loss’ hair specialists may suspect severe cases of alopecia areata inc</w:t>
      </w:r>
      <w:bookmarkStart w:id="6" w:name="_GoBack"/>
      <w:bookmarkEnd w:id="6"/>
      <w:r>
        <w:rPr>
          <w:rFonts w:ascii="Times New Roman" w:eastAsia="宋体" w:hAnsi="Times New Roman" w:cs="Times New Roman"/>
          <w:kern w:val="0"/>
          <w:sz w:val="22"/>
          <w:szCs w:val="22"/>
        </w:rPr>
        <w:t>ognita.</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With the initial phototrichogram (m0; August), we documented 0% anagen hair and could predict total hair loss in the next few months (m2; O</w:t>
      </w:r>
      <w:r>
        <w:rPr>
          <w:rFonts w:ascii="Times New Roman" w:eastAsia="宋体" w:hAnsi="Times New Roman" w:cs="Times New Roman"/>
          <w:kern w:val="0"/>
          <w:sz w:val="22"/>
          <w:szCs w:val="22"/>
        </w:rPr>
        <w:t xml:space="preserve">ctober). The </w:t>
      </w:r>
      <w:bookmarkStart w:id="7" w:name="_Int_aD96rH9N"/>
      <w:r>
        <w:rPr>
          <w:rFonts w:ascii="Times New Roman" w:eastAsia="宋体" w:hAnsi="Times New Roman" w:cs="Times New Roman"/>
          <w:kern w:val="0"/>
          <w:sz w:val="22"/>
          <w:szCs w:val="22"/>
        </w:rPr>
        <w:t>bad news</w:t>
      </w:r>
      <w:bookmarkEnd w:id="7"/>
      <w:r>
        <w:rPr>
          <w:rFonts w:ascii="Times New Roman" w:eastAsia="宋体" w:hAnsi="Times New Roman" w:cs="Times New Roman"/>
          <w:kern w:val="0"/>
          <w:sz w:val="22"/>
          <w:szCs w:val="22"/>
        </w:rPr>
        <w:t xml:space="preserve"> helped the patient anticipate and cope with her condition.</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A few such extreme cases illustrate the theoretical value of the HMI-abacus and, simultaneously, the limits of the correlation between SCS and clinical estimation of growth po</w:t>
      </w:r>
      <w:r>
        <w:rPr>
          <w:rFonts w:ascii="Times New Roman" w:eastAsia="宋体" w:hAnsi="Times New Roman" w:cs="Times New Roman"/>
          <w:kern w:val="0"/>
          <w:sz w:val="22"/>
          <w:szCs w:val="22"/>
        </w:rPr>
        <w:t>tential.</w:t>
      </w:r>
    </w:p>
    <w:p w:rsidR="00E266B9" w:rsidRDefault="00655E85">
      <w:pPr>
        <w:spacing w:line="312" w:lineRule="auto"/>
        <w:ind w:right="-7"/>
        <w:contextualSpacing/>
        <w:jc w:val="left"/>
        <w:rPr>
          <w:rFonts w:ascii="Times New Roman" w:eastAsia="宋体" w:hAnsi="Times New Roman" w:cs="Times New Roman"/>
          <w:kern w:val="0"/>
          <w:sz w:val="22"/>
          <w:szCs w:val="22"/>
        </w:rPr>
      </w:pPr>
      <w:r w:rsidRPr="00655E85">
        <w:rPr>
          <w:rFonts w:ascii="Times New Roman" w:eastAsia="宋体" w:hAnsi="Times New Roman" w:cs="Times New Roman"/>
          <w:kern w:val="0"/>
          <w:sz w:val="22"/>
          <w:szCs w:val="22"/>
        </w:rPr>
        <w:lastRenderedPageBreak/>
        <w:drawing>
          <wp:inline distT="0" distB="0" distL="0" distR="0">
            <wp:extent cx="4025900" cy="4575317"/>
            <wp:effectExtent l="19050" t="0" r="0" b="0"/>
            <wp:docPr id="4" name="Picture 1" descr="D:\work\XiaHe\work\01 xml-typesetting\NCS-23-14\print\NCS-23-14 Figure S4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XiaHe\work\01 xml-typesetting\NCS-23-14\print\NCS-23-14 Figure S4 final.tif"/>
                    <pic:cNvPicPr>
                      <a:picLocks noChangeAspect="1" noChangeArrowheads="1"/>
                    </pic:cNvPicPr>
                  </pic:nvPicPr>
                  <pic:blipFill>
                    <a:blip r:embed="rId7" cstate="print"/>
                    <a:srcRect/>
                    <a:stretch>
                      <a:fillRect/>
                    </a:stretch>
                  </pic:blipFill>
                  <pic:spPr bwMode="auto">
                    <a:xfrm>
                      <a:off x="0" y="0"/>
                      <a:ext cx="4025900" cy="4575317"/>
                    </a:xfrm>
                    <a:prstGeom prst="rect">
                      <a:avLst/>
                    </a:prstGeom>
                    <a:noFill/>
                    <a:ln w="9525">
                      <a:noFill/>
                      <a:miter lim="800000"/>
                      <a:headEnd/>
                      <a:tailEnd/>
                    </a:ln>
                  </pic:spPr>
                </pic:pic>
              </a:graphicData>
            </a:graphic>
          </wp:inline>
        </w:drawing>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References</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1. Van Neste D, De Brouwer B, Dumortier M. Reduced linear hair growth rates of vellus and of terminal hairs produced by human balding scalp grafted onto nude mice. Ann N Y Acad Sci 1991;642:480-482. doi: 10.1111/j.1749-6632.1991.tb2442</w:t>
      </w:r>
      <w:r>
        <w:rPr>
          <w:rFonts w:ascii="Times New Roman" w:eastAsia="宋体" w:hAnsi="Times New Roman" w:cs="Times New Roman" w:hint="eastAsia"/>
          <w:kern w:val="0"/>
          <w:sz w:val="22"/>
          <w:szCs w:val="22"/>
        </w:rPr>
        <w:t>5.x. PMID: 1809113.</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2. T</w:t>
      </w:r>
      <w:r>
        <w:rPr>
          <w:rFonts w:ascii="Times New Roman" w:eastAsia="宋体" w:hAnsi="Times New Roman" w:cs="Times New Roman" w:hint="eastAsia"/>
          <w:kern w:val="0"/>
          <w:sz w:val="22"/>
          <w:szCs w:val="22"/>
        </w:rPr>
        <w:t>é</w:t>
      </w:r>
      <w:r>
        <w:rPr>
          <w:rFonts w:ascii="Times New Roman" w:eastAsia="宋体" w:hAnsi="Times New Roman" w:cs="Times New Roman" w:hint="eastAsia"/>
          <w:kern w:val="0"/>
          <w:sz w:val="22"/>
          <w:szCs w:val="22"/>
        </w:rPr>
        <w:t xml:space="preserve">telin C. and Van Neste D. Linear hair growth rate and diameter of hairs grown in vitro: a relevant correlation. In Hair research for the next millenium. D. J. J. Van Neste and V. A. Randall, editors. Amsterdam: Elsevier Science </w:t>
      </w:r>
      <w:r>
        <w:rPr>
          <w:rFonts w:ascii="Times New Roman" w:eastAsia="宋体" w:hAnsi="Times New Roman" w:cs="Times New Roman" w:hint="eastAsia"/>
          <w:kern w:val="0"/>
          <w:sz w:val="22"/>
          <w:szCs w:val="22"/>
        </w:rPr>
        <w:t>B.V. 1996. p183-186.</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3. Halloy J, Bernard BA, Loussouarn G, Goldbeter A. Modeling the dynamics of human hair cycles by a follicular automaton. Proc Natl Acad Sci U S A 2000;97(15):8328-8333. doi: 10.1073/pnas.97.15.8328. PMID: 10899998.</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 xml:space="preserve">4. Van Neste DJ, </w:t>
      </w:r>
      <w:r>
        <w:rPr>
          <w:rFonts w:ascii="Times New Roman" w:eastAsia="宋体" w:hAnsi="Times New Roman" w:cs="Times New Roman" w:hint="eastAsia"/>
          <w:kern w:val="0"/>
          <w:sz w:val="22"/>
          <w:szCs w:val="22"/>
        </w:rPr>
        <w:t>Rushton DH. Gender differences in scalp hair growth rates are maintained but reduced in pattern hair loss compared to controls. Skin Res Technol 2016;22(3):363-369. doi: 10.1111/srt.12274. PMID: 26526232.</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5. Van Neste D. Placebo-controlled dose-effect stud</w:t>
      </w:r>
      <w:r>
        <w:rPr>
          <w:rFonts w:ascii="Times New Roman" w:eastAsia="宋体" w:hAnsi="Times New Roman" w:cs="Times New Roman" w:hint="eastAsia"/>
          <w:kern w:val="0"/>
          <w:sz w:val="22"/>
          <w:szCs w:val="22"/>
        </w:rPr>
        <w:t>ies with topical minoxidil 2% or 5% in male-patterned hair loss treated with oral finasteride employing an analytical and exhaustive study protocol. Skin Res Technol 2020;26(4):542-557. doi: 10.1111/srt.12827. PMID: 31957152.</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6. V</w:t>
      </w:r>
      <w:r>
        <w:rPr>
          <w:rFonts w:ascii="Times New Roman" w:eastAsia="宋体" w:hAnsi="Times New Roman" w:cs="Times New Roman" w:hint="eastAsia"/>
          <w:kern w:val="0"/>
          <w:sz w:val="22"/>
          <w:szCs w:val="22"/>
        </w:rPr>
        <w:t>an Neste D. Exhaustive ana</w:t>
      </w:r>
      <w:r>
        <w:rPr>
          <w:rFonts w:ascii="Times New Roman" w:eastAsia="宋体" w:hAnsi="Times New Roman" w:cs="Times New Roman" w:hint="eastAsia"/>
          <w:kern w:val="0"/>
          <w:sz w:val="22"/>
          <w:szCs w:val="22"/>
        </w:rPr>
        <w:t>lysis of scalp hair regression: subjective and objective perception from initial hair loss to severe miniaturisation and drug-induced regrowth. Plast Aesthet Res 2021;8(16), doi: 10.20517/2347-9264.2020.220.</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lang w:eastAsia="en-US"/>
        </w:rPr>
        <w:t xml:space="preserve">7. </w:t>
      </w:r>
      <w:r>
        <w:rPr>
          <w:rFonts w:ascii="Times New Roman" w:eastAsia="宋体" w:hAnsi="Times New Roman" w:cs="Times New Roman" w:hint="eastAsia"/>
          <w:kern w:val="0"/>
          <w:sz w:val="22"/>
          <w:szCs w:val="22"/>
          <w:lang w:eastAsia="en-US"/>
        </w:rPr>
        <w:t>Van Neste D. Placebo pills, lotions or potion</w:t>
      </w:r>
      <w:r>
        <w:rPr>
          <w:rFonts w:ascii="Times New Roman" w:eastAsia="宋体" w:hAnsi="Times New Roman" w:cs="Times New Roman" w:hint="eastAsia"/>
          <w:kern w:val="0"/>
          <w:sz w:val="22"/>
          <w:szCs w:val="22"/>
          <w:lang w:eastAsia="en-US"/>
        </w:rPr>
        <w:t>s and the natural progression of patterned hair loss in males: another step away from "trichoquackery"? Eur J Dermatol 2008;18(4):373-375. doi: 10.1684/ejd.2008.0430. PMID: 18573705.</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8</w:t>
      </w:r>
      <w:r>
        <w:rPr>
          <w:rFonts w:ascii="Times New Roman" w:eastAsia="宋体" w:hAnsi="Times New Roman" w:cs="Times New Roman" w:hint="eastAsia"/>
          <w:kern w:val="0"/>
          <w:sz w:val="22"/>
          <w:szCs w:val="22"/>
        </w:rPr>
        <w:t xml:space="preserve">. Vleut RE, van Poppel JE, Dercksen MW, Peerbooms M, Houterman S, Breed </w:t>
      </w:r>
      <w:r>
        <w:rPr>
          <w:rFonts w:ascii="Times New Roman" w:eastAsia="宋体" w:hAnsi="Times New Roman" w:cs="Times New Roman" w:hint="eastAsia"/>
          <w:kern w:val="0"/>
          <w:sz w:val="22"/>
          <w:szCs w:val="22"/>
        </w:rPr>
        <w:t xml:space="preserve">WP. Hair mass index obtained </w:t>
      </w:r>
      <w:r>
        <w:rPr>
          <w:rFonts w:ascii="Times New Roman" w:eastAsia="宋体" w:hAnsi="Times New Roman" w:cs="Times New Roman" w:hint="eastAsia"/>
          <w:kern w:val="0"/>
          <w:sz w:val="22"/>
          <w:szCs w:val="22"/>
        </w:rPr>
        <w:lastRenderedPageBreak/>
        <w:t>by cross-section trichometry: an objective and clinically useful parameter to quantify hair in chemotherapy-induced alopecia. Support Care Cancer 2013;21(7):1807-1814. doi: 10.1007/s00520-013-1723-9. PMID: 23338231.</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hint="eastAsia"/>
          <w:kern w:val="0"/>
          <w:sz w:val="22"/>
          <w:szCs w:val="22"/>
        </w:rPr>
        <w:t>9. Tosti A,</w:t>
      </w:r>
      <w:r>
        <w:rPr>
          <w:rFonts w:ascii="Times New Roman" w:eastAsia="宋体" w:hAnsi="Times New Roman" w:cs="Times New Roman" w:hint="eastAsia"/>
          <w:kern w:val="0"/>
          <w:sz w:val="22"/>
          <w:szCs w:val="22"/>
        </w:rPr>
        <w:t xml:space="preserve"> Zaiac MN, Canazza A, Sanchis-Gomar F, Pareja-Galeano H, Alis R, et al. Topical application of the Wnt/</w:t>
      </w:r>
      <w:r>
        <w:rPr>
          <w:rFonts w:ascii="Times New Roman" w:eastAsia="宋体" w:hAnsi="Times New Roman" w:cs="Times New Roman" w:hint="eastAsia"/>
          <w:kern w:val="0"/>
          <w:sz w:val="22"/>
          <w:szCs w:val="22"/>
        </w:rPr>
        <w:t>β</w:t>
      </w:r>
      <w:r>
        <w:rPr>
          <w:rFonts w:ascii="Times New Roman" w:eastAsia="宋体" w:hAnsi="Times New Roman" w:cs="Times New Roman" w:hint="eastAsia"/>
          <w:kern w:val="0"/>
          <w:sz w:val="22"/>
          <w:szCs w:val="22"/>
        </w:rPr>
        <w:t xml:space="preserve">-catenin activator methyl vanillate increases hair count and hair mass index in women with androgenetic alopecia. J Cosmet Dermatol 2016;15(4):469-474. </w:t>
      </w:r>
      <w:r>
        <w:rPr>
          <w:rFonts w:ascii="Times New Roman" w:eastAsia="宋体" w:hAnsi="Times New Roman" w:cs="Times New Roman" w:hint="eastAsia"/>
          <w:kern w:val="0"/>
          <w:sz w:val="22"/>
          <w:szCs w:val="22"/>
        </w:rPr>
        <w:t>doi: 10.1111/jocd.12225. PMID: 27121450.</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10</w:t>
      </w:r>
      <w:r>
        <w:rPr>
          <w:rFonts w:ascii="Times New Roman" w:eastAsia="宋体" w:hAnsi="Times New Roman" w:cs="Times New Roman" w:hint="eastAsia"/>
          <w:kern w:val="0"/>
          <w:sz w:val="22"/>
          <w:szCs w:val="22"/>
        </w:rPr>
        <w:t>. Wikramanayake TC, Mauro LM, Tabas IA, Chen AL, Llanes IC, Jimenez JJ. Cross-section Trichometry: A Clinical Tool for Assessing the Progression and Treatment Response of Alopecia. Int J Trichology 2012;4(4):259-2</w:t>
      </w:r>
      <w:r>
        <w:rPr>
          <w:rFonts w:ascii="Times New Roman" w:eastAsia="宋体" w:hAnsi="Times New Roman" w:cs="Times New Roman" w:hint="eastAsia"/>
          <w:kern w:val="0"/>
          <w:sz w:val="22"/>
          <w:szCs w:val="22"/>
        </w:rPr>
        <w:t>64. DOI:10.4103/0974-7753.111221 PMID:23766610</w:t>
      </w:r>
    </w:p>
    <w:p w:rsidR="00E266B9" w:rsidRDefault="002F6D89">
      <w:pPr>
        <w:spacing w:line="312" w:lineRule="auto"/>
        <w:ind w:right="-7"/>
        <w:contextualSpacing/>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11</w:t>
      </w:r>
      <w:r>
        <w:rPr>
          <w:rFonts w:ascii="Times New Roman" w:eastAsia="宋体" w:hAnsi="Times New Roman" w:cs="Times New Roman" w:hint="eastAsia"/>
          <w:kern w:val="0"/>
          <w:sz w:val="22"/>
          <w:szCs w:val="22"/>
        </w:rPr>
        <w:t>. Vincenzi C, Marisaldi B, T</w:t>
      </w:r>
      <w:r>
        <w:rPr>
          <w:rFonts w:ascii="Times New Roman" w:eastAsia="宋体" w:hAnsi="Times New Roman" w:cs="Times New Roman" w:hint="eastAsia"/>
          <w:kern w:val="0"/>
          <w:sz w:val="22"/>
          <w:szCs w:val="22"/>
        </w:rPr>
        <w:t>osti A, Patel B. Effects of a New Topical Treatment Containing Several Hair Growth Promoters in Women with Early Female Pattern Hair Loss. Skin Appendage Disord 2019;5(3):146-151.</w:t>
      </w:r>
      <w:r>
        <w:rPr>
          <w:rFonts w:ascii="Times New Roman" w:eastAsia="宋体" w:hAnsi="Times New Roman" w:cs="Times New Roman" w:hint="eastAsia"/>
          <w:kern w:val="0"/>
          <w:sz w:val="22"/>
          <w:szCs w:val="22"/>
        </w:rPr>
        <w:t xml:space="preserve"> doi: 10.1159/000493200. PMID: 31049335.</w:t>
      </w:r>
    </w:p>
    <w:p w:rsidR="00E266B9" w:rsidRDefault="00E266B9"/>
    <w:sectPr w:rsidR="00E266B9" w:rsidSect="00E266B9">
      <w:headerReference w:type="even" r:id="rId8"/>
      <w:headerReference w:type="default" r:id="rId9"/>
      <w:pgSz w:w="11900" w:h="16820"/>
      <w:pgMar w:top="1134" w:right="851" w:bottom="567" w:left="1134" w:header="0" w:footer="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fci wne:fciName="FontColorPicker" wne:swArg="0000"/>
    </wne:keymap>
    <wne:keymap wne:kcmPrimary="0451">
      <wne:fci wne:fciName="FillColorPicker" wne:swArg="0000"/>
    </wne:keymap>
    <wne:keymap wne:kcmPrimary="0457">
      <wne:fci wne:fciName="Superscript" wne:swArg="0000"/>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D89" w:rsidRDefault="002F6D89" w:rsidP="00E266B9">
      <w:r>
        <w:separator/>
      </w:r>
    </w:p>
  </w:endnote>
  <w:endnote w:type="continuationSeparator" w:id="1">
    <w:p w:rsidR="002F6D89" w:rsidRDefault="002F6D89" w:rsidP="00E266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D89" w:rsidRDefault="002F6D89" w:rsidP="00E266B9">
      <w:r>
        <w:separator/>
      </w:r>
    </w:p>
  </w:footnote>
  <w:footnote w:type="continuationSeparator" w:id="1">
    <w:p w:rsidR="002F6D89" w:rsidRDefault="002F6D89" w:rsidP="00E266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B9" w:rsidRDefault="00E266B9">
    <w:pPr>
      <w:tabs>
        <w:tab w:val="center" w:pos="4536"/>
        <w:tab w:val="right" w:pos="9072"/>
      </w:tabs>
      <w:spacing w:line="312" w:lineRule="auto"/>
      <w:ind w:right="-7"/>
      <w:contextualSpacing/>
      <w:rPr>
        <w:rFonts w:ascii="Times New Roman" w:eastAsia="宋体" w:hAnsi="Times New Roman" w:cs="Times New Roman"/>
        <w:color w:val="FF0000"/>
        <w:sz w:val="22"/>
        <w:szCs w:val="22"/>
      </w:rPr>
    </w:pPr>
    <w:r>
      <w:rPr>
        <w:rFonts w:ascii="Times New Roman" w:eastAsia="宋体" w:hAnsi="Times New Roman" w:cs="Times New Roman"/>
        <w:color w:val="FF0000"/>
        <w:sz w:val="22"/>
        <w:szCs w:val="22"/>
      </w:rPr>
      <w:fldChar w:fldCharType="begin"/>
    </w:r>
    <w:r w:rsidR="002F6D89">
      <w:rPr>
        <w:rFonts w:ascii="Times New Roman" w:eastAsia="宋体" w:hAnsi="Times New Roman" w:cs="Times New Roman"/>
        <w:color w:val="FF0000"/>
        <w:sz w:val="22"/>
        <w:szCs w:val="22"/>
      </w:rPr>
      <w:instrText xml:space="preserve">PAGE  </w:instrText>
    </w:r>
    <w:r>
      <w:rPr>
        <w:rFonts w:ascii="Times New Roman" w:eastAsia="宋体" w:hAnsi="Times New Roman" w:cs="Times New Roman"/>
        <w:color w:val="FF0000"/>
        <w:sz w:val="22"/>
        <w:szCs w:val="22"/>
      </w:rPr>
      <w:fldChar w:fldCharType="end"/>
    </w:r>
  </w:p>
  <w:p w:rsidR="00E266B9" w:rsidRDefault="00E266B9">
    <w:pPr>
      <w:tabs>
        <w:tab w:val="center" w:pos="4536"/>
        <w:tab w:val="right" w:pos="9072"/>
      </w:tabs>
      <w:spacing w:line="312" w:lineRule="auto"/>
      <w:ind w:right="-7"/>
      <w:contextualSpacing/>
      <w:rPr>
        <w:rFonts w:ascii="Times New Roman" w:eastAsia="宋体" w:hAnsi="Times New Roman" w:cs="Times New Roman"/>
        <w:color w:val="FF0000"/>
        <w:sz w:val="22"/>
        <w:szCs w:val="22"/>
      </w:rPr>
    </w:pPr>
  </w:p>
  <w:p w:rsidR="00E266B9" w:rsidRDefault="00E266B9">
    <w:pPr>
      <w:spacing w:line="312" w:lineRule="auto"/>
      <w:ind w:right="-7"/>
      <w:contextualSpacing/>
      <w:jc w:val="left"/>
      <w:rPr>
        <w:rFonts w:ascii="Times New Roman" w:eastAsia="宋体" w:hAnsi="Times New Roman" w:cs="Times New Roman"/>
        <w:color w:val="FF0000"/>
        <w:kern w:val="0"/>
        <w:sz w:val="22"/>
        <w:szCs w:val="22"/>
      </w:rPr>
    </w:pPr>
  </w:p>
  <w:p w:rsidR="00E266B9" w:rsidRDefault="00E266B9">
    <w:pPr>
      <w:spacing w:line="312" w:lineRule="auto"/>
      <w:ind w:right="-7"/>
      <w:contextualSpacing/>
      <w:jc w:val="left"/>
      <w:rPr>
        <w:rFonts w:ascii="Times New Roman" w:eastAsia="宋体" w:hAnsi="Times New Roman" w:cs="Times New Roman"/>
        <w:color w:val="FF0000"/>
        <w:kern w:val="0"/>
        <w:sz w:val="22"/>
        <w:szCs w:val="22"/>
      </w:rPr>
    </w:pPr>
  </w:p>
  <w:p w:rsidR="00E266B9" w:rsidRDefault="00E266B9">
    <w:pPr>
      <w:spacing w:line="312" w:lineRule="auto"/>
      <w:ind w:right="-7"/>
      <w:contextualSpacing/>
      <w:jc w:val="left"/>
      <w:rPr>
        <w:rFonts w:ascii="Times New Roman" w:eastAsia="宋体" w:hAnsi="Times New Roman" w:cs="Times New Roman"/>
        <w:color w:val="FF0000"/>
        <w:kern w:val="0"/>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B9" w:rsidRDefault="00E266B9">
    <w:pPr>
      <w:spacing w:line="312" w:lineRule="auto"/>
      <w:ind w:right="-7"/>
      <w:contextualSpacing/>
      <w:jc w:val="left"/>
      <w:rPr>
        <w:rFonts w:ascii="Times New Roman" w:eastAsia="宋体" w:hAnsi="Times New Roman" w:cs="Times New Roman"/>
        <w:color w:val="FF0000"/>
        <w:kern w:val="0"/>
        <w:sz w:val="22"/>
        <w:szCs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zIxMzgyY2MxY2EzMjQ1OWQ2ODExZTk5YjVjOWFjYjUifQ=="/>
  </w:docVars>
  <w:rsids>
    <w:rsidRoot w:val="00E266B9"/>
    <w:rsid w:val="002F6D89"/>
    <w:rsid w:val="00655E85"/>
    <w:rsid w:val="00E266B9"/>
    <w:rsid w:val="11AE1162"/>
    <w:rsid w:val="3C5A0F14"/>
    <w:rsid w:val="45185BA9"/>
    <w:rsid w:val="47670957"/>
    <w:rsid w:val="48035859"/>
    <w:rsid w:val="518C7E71"/>
    <w:rsid w:val="576A5DEE"/>
    <w:rsid w:val="672B61CF"/>
    <w:rsid w:val="79F70ECF"/>
    <w:rsid w:val="7E9C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66B9"/>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655E85"/>
  </w:style>
  <w:style w:type="paragraph" w:styleId="BalloonText">
    <w:name w:val="Balloon Text"/>
    <w:basedOn w:val="Normal"/>
    <w:link w:val="BalloonTextChar"/>
    <w:rsid w:val="00655E85"/>
    <w:rPr>
      <w:rFonts w:ascii="Tahoma" w:hAnsi="Tahoma" w:cs="Tahoma"/>
      <w:sz w:val="16"/>
      <w:szCs w:val="16"/>
    </w:rPr>
  </w:style>
  <w:style w:type="character" w:customStyle="1" w:styleId="BalloonTextChar">
    <w:name w:val="Balloon Text Char"/>
    <w:basedOn w:val="DefaultParagraphFont"/>
    <w:link w:val="BalloonText"/>
    <w:rsid w:val="00655E85"/>
    <w:rPr>
      <w:rFonts w:ascii="Tahoma"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1643</Words>
  <Characters>9368</Characters>
  <Application>Microsoft Office Word</Application>
  <DocSecurity>0</DocSecurity>
  <Lines>78</Lines>
  <Paragraphs>21</Paragraphs>
  <ScaleCrop>false</ScaleCrop>
  <Company/>
  <LinksUpToDate>false</LinksUpToDate>
  <CharactersWithSpaces>10990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dc:creator>
  <cp:lastModifiedBy>Robin Wei</cp:lastModifiedBy>
  <cp:revision>2</cp:revision>
  <dcterms:created xsi:type="dcterms:W3CDTF">2023-12-07T02:07:00Z</dcterms:created>
  <dcterms:modified xsi:type="dcterms:W3CDTF">2024-06-11T02:05:00Z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1C673A35189F4C308481E8FAA0FD5382_12</vt:lpwstr>
  </property>
</Properties>
</file>