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9" w:rsidRDefault="00795552">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Supplementary Figure S</w:t>
      </w:r>
      <w:r>
        <w:rPr>
          <w:rFonts w:ascii="Times New Roman" w:eastAsia="宋体" w:hAnsi="Times New Roman" w:cs="Times New Roman"/>
          <w:kern w:val="0"/>
          <w:sz w:val="22"/>
          <w:szCs w:val="22"/>
        </w:rPr>
        <w:t>2</w:t>
      </w:r>
      <w:r>
        <w:rPr>
          <w:rFonts w:ascii="Times New Roman" w:eastAsia="宋体" w:hAnsi="Times New Roman" w:cs="Times New Roman" w:hint="eastAsia"/>
          <w:kern w:val="0"/>
          <w:sz w:val="22"/>
          <w:szCs w:val="22"/>
        </w:rPr>
        <w:t>.</w:t>
      </w:r>
      <w:r>
        <w:rPr>
          <w:rFonts w:ascii="Times New Roman" w:eastAsia="宋体" w:hAnsi="Times New Roman" w:cs="Times New Roman"/>
          <w:kern w:val="0"/>
          <w:sz w:val="22"/>
          <w:szCs w:val="22"/>
        </w:rPr>
        <w:t xml:space="preserve"> Statistical approach and rationale for selecting global and analytical criteria.</w:t>
      </w:r>
    </w:p>
    <w:p w:rsidR="004065A9" w:rsidRDefault="004065A9">
      <w:pPr>
        <w:spacing w:line="312" w:lineRule="auto"/>
        <w:ind w:right="-7"/>
        <w:contextualSpacing/>
        <w:jc w:val="left"/>
        <w:rPr>
          <w:rFonts w:ascii="Times New Roman" w:eastAsia="宋体" w:hAnsi="Times New Roman" w:cs="Times New Roman"/>
          <w:kern w:val="0"/>
          <w:sz w:val="22"/>
          <w:szCs w:val="22"/>
        </w:rPr>
      </w:pPr>
    </w:p>
    <w:p w:rsidR="004065A9" w:rsidRDefault="00795552">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We focussed on essential data for the present study from the extensive source statistics (refer to Table 7 from</w:t>
      </w:r>
      <w:r>
        <w:rPr>
          <w:rFonts w:ascii="Times New Roman" w:eastAsia="宋体" w:hAnsi="Times New Roman" w:cs="Times New Roman" w:hint="eastAsia"/>
          <w:kern w:val="0"/>
          <w:sz w:val="22"/>
          <w:szCs w:val="22"/>
        </w:rPr>
        <w:t xml:space="preserve"> the previous paper</w:t>
      </w:r>
      <w:r>
        <w:rPr>
          <w:rFonts w:ascii="Times New Roman" w:eastAsia="宋体" w:hAnsi="Times New Roman" w:cs="Times New Roman"/>
          <w:kern w:val="0"/>
          <w:sz w:val="22"/>
          <w:szCs w:val="22"/>
        </w:rPr>
        <w:t xml:space="preserve"> </w:t>
      </w:r>
      <w:r>
        <w:rPr>
          <w:rFonts w:ascii="Times New Roman" w:eastAsia="宋体" w:hAnsi="Times New Roman" w:cs="Times New Roman"/>
          <w:kern w:val="0"/>
          <w:sz w:val="22"/>
          <w:szCs w:val="22"/>
          <w:vertAlign w:val="superscript"/>
        </w:rPr>
        <w:t>1</w:t>
      </w:r>
      <w:r>
        <w:rPr>
          <w:rFonts w:ascii="Times New Roman" w:eastAsia="宋体" w:hAnsi="Times New Roman" w:cs="Times New Roman"/>
          <w:kern w:val="0"/>
          <w:sz w:val="22"/>
          <w:szCs w:val="22"/>
        </w:rPr>
        <w:t xml:space="preserve">). As shown in </w:t>
      </w:r>
      <w:r>
        <w:rPr>
          <w:rFonts w:ascii="Times New Roman" w:eastAsia="宋体" w:hAnsi="Times New Roman" w:cs="Times New Roman"/>
          <w:kern w:val="0"/>
          <w:sz w:val="22"/>
          <w:szCs w:val="22"/>
        </w:rPr>
        <w:t>headers from left to right, one reads density (hair counts per unit area), productivity (Time To Complete Coverage: TTCC; red rectangle), and Scalp Coverage Scoring (SCS; red triangle).</w:t>
      </w:r>
      <w:r>
        <w:rPr>
          <w:rFonts w:ascii="Times New Roman" w:eastAsia="宋体" w:hAnsi="Times New Roman" w:cs="Times New Roman" w:hint="eastAsia"/>
          <w:kern w:val="0"/>
          <w:sz w:val="22"/>
          <w:szCs w:val="22"/>
        </w:rPr>
        <w:t xml:space="preserve"> </w:t>
      </w:r>
      <w:r>
        <w:rPr>
          <w:rFonts w:ascii="Times New Roman" w:eastAsia="宋体" w:hAnsi="Times New Roman" w:cs="Times New Roman"/>
          <w:kern w:val="0"/>
          <w:sz w:val="22"/>
          <w:szCs w:val="22"/>
        </w:rPr>
        <w:t>The header details measurable criteria (density with diameter categori</w:t>
      </w:r>
      <w:r>
        <w:rPr>
          <w:rFonts w:ascii="Times New Roman" w:eastAsia="宋体" w:hAnsi="Times New Roman" w:cs="Times New Roman"/>
          <w:kern w:val="0"/>
          <w:sz w:val="22"/>
          <w:szCs w:val="22"/>
        </w:rPr>
        <w:t>es from &lt;20µm up to &gt;60µm and total/cm</w:t>
      </w:r>
      <w:r>
        <w:rPr>
          <w:rFonts w:ascii="Times New Roman" w:eastAsia="宋体" w:hAnsi="Times New Roman" w:cs="Times New Roman"/>
          <w:kern w:val="0"/>
          <w:sz w:val="22"/>
          <w:szCs w:val="22"/>
          <w:vertAlign w:val="superscript"/>
        </w:rPr>
        <w:t>2</w:t>
      </w:r>
      <w:r>
        <w:rPr>
          <w:rFonts w:ascii="Times New Roman" w:eastAsia="宋体" w:hAnsi="Times New Roman" w:cs="Times New Roman"/>
          <w:kern w:val="0"/>
          <w:sz w:val="22"/>
          <w:szCs w:val="22"/>
        </w:rPr>
        <w:t>). They were split up into clinical groups established according to gender. Female patients (F) were described as having No pattern, Ludwig Pattern (severity I, II, or III), Diffuse or Other, and ANOVA resulted in a m</w:t>
      </w:r>
      <w:r>
        <w:rPr>
          <w:rFonts w:ascii="Times New Roman" w:eastAsia="宋体" w:hAnsi="Times New Roman" w:cs="Times New Roman"/>
          <w:kern w:val="0"/>
          <w:sz w:val="22"/>
          <w:szCs w:val="22"/>
        </w:rPr>
        <w:t>aximum of 8 statistically significant discriminating factors. Similarly, in Male patients (M), Hamilton Pattern (clustered severity groups I-II, III, IV-V) ANOVA resulted in a maximum number of 3 statistically significant discriminating factors. Accordingl</w:t>
      </w:r>
      <w:r>
        <w:rPr>
          <w:rFonts w:ascii="Times New Roman" w:eastAsia="宋体" w:hAnsi="Times New Roman" w:cs="Times New Roman"/>
          <w:kern w:val="0"/>
          <w:sz w:val="22"/>
          <w:szCs w:val="22"/>
        </w:rPr>
        <w:t>y, discrimination power was attributed to SCS on the parted midline (last column F8 + M3= 11 times) was the best ‘discriminating and encompassing’ criterion together with productivity (TTCC days; F7 + M3= 10 times) and density of thickest terminal hair (di</w:t>
      </w:r>
      <w:r>
        <w:rPr>
          <w:rFonts w:ascii="Times New Roman" w:eastAsia="宋体" w:hAnsi="Times New Roman" w:cs="Times New Roman"/>
          <w:kern w:val="0"/>
          <w:sz w:val="22"/>
          <w:szCs w:val="22"/>
        </w:rPr>
        <w:t>ameter larger than 60µm (≥60µm); F7 + M3= 10 times). The bottom line highlights the statistical weight as red</w:t>
      </w:r>
    </w:p>
    <w:p w:rsidR="004065A9" w:rsidRDefault="004065A9">
      <w:pPr>
        <w:spacing w:line="312" w:lineRule="auto"/>
        <w:ind w:right="-7"/>
        <w:contextualSpacing/>
        <w:jc w:val="left"/>
        <w:rPr>
          <w:rFonts w:ascii="Times New Roman" w:eastAsia="宋体" w:hAnsi="Times New Roman" w:cs="Times New Roman"/>
          <w:kern w:val="0"/>
          <w:sz w:val="22"/>
          <w:szCs w:val="22"/>
        </w:rPr>
      </w:pPr>
    </w:p>
    <w:p w:rsidR="004065A9" w:rsidRDefault="00795552">
      <w:pPr>
        <w:spacing w:line="312" w:lineRule="auto"/>
        <w:ind w:right="-7"/>
        <w:contextualSpacing/>
        <w:jc w:val="left"/>
        <w:rPr>
          <w:rFonts w:ascii="Times New Roman" w:eastAsia="宋体" w:hAnsi="Times New Roman" w:cs="Times New Roman"/>
          <w:kern w:val="0"/>
          <w:sz w:val="22"/>
          <w:szCs w:val="22"/>
        </w:rPr>
      </w:pPr>
      <w:bookmarkStart w:id="0" w:name="_GoBack"/>
      <w:bookmarkEnd w:id="0"/>
      <w:r w:rsidRPr="00795552">
        <w:rPr>
          <w:rFonts w:ascii="Times New Roman" w:eastAsia="宋体" w:hAnsi="Times New Roman" w:cs="Times New Roman"/>
          <w:kern w:val="0"/>
          <w:sz w:val="22"/>
          <w:szCs w:val="22"/>
        </w:rPr>
        <w:drawing>
          <wp:inline distT="0" distB="0" distL="0" distR="0">
            <wp:extent cx="5274310" cy="3028074"/>
            <wp:effectExtent l="19050" t="0" r="2540" b="0"/>
            <wp:docPr id="2" name="Picture 1" descr="D:\work\XiaHe\work\01 xml-typesetting\NCS-23-14\print\NCS-23-14 Figure S2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XiaHe\work\01 xml-typesetting\NCS-23-14\print\NCS-23-14 Figure S2 final.tif"/>
                    <pic:cNvPicPr>
                      <a:picLocks noChangeAspect="1" noChangeArrowheads="1"/>
                    </pic:cNvPicPr>
                  </pic:nvPicPr>
                  <pic:blipFill>
                    <a:blip r:embed="rId5" cstate="print"/>
                    <a:srcRect/>
                    <a:stretch>
                      <a:fillRect/>
                    </a:stretch>
                  </pic:blipFill>
                  <pic:spPr bwMode="auto">
                    <a:xfrm>
                      <a:off x="0" y="0"/>
                      <a:ext cx="5274310" cy="3028074"/>
                    </a:xfrm>
                    <a:prstGeom prst="rect">
                      <a:avLst/>
                    </a:prstGeom>
                    <a:noFill/>
                    <a:ln w="9525">
                      <a:noFill/>
                      <a:miter lim="800000"/>
                      <a:headEnd/>
                      <a:tailEnd/>
                    </a:ln>
                  </pic:spPr>
                </pic:pic>
              </a:graphicData>
            </a:graphic>
          </wp:inline>
        </w:drawing>
      </w:r>
    </w:p>
    <w:p w:rsidR="004065A9" w:rsidRDefault="00795552">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R</w:t>
      </w:r>
      <w:r>
        <w:rPr>
          <w:rFonts w:ascii="Times New Roman" w:eastAsia="宋体" w:hAnsi="Times New Roman" w:cs="Times New Roman"/>
          <w:kern w:val="0"/>
          <w:sz w:val="22"/>
          <w:szCs w:val="22"/>
        </w:rPr>
        <w:t>eferences</w:t>
      </w:r>
    </w:p>
    <w:p w:rsidR="004065A9" w:rsidRDefault="00795552">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1.Van Neste D. Exhaustive analysis of scalp hair regression: subjective and objective perception from initial hair loss to severe min</w:t>
      </w:r>
      <w:r>
        <w:rPr>
          <w:rFonts w:ascii="Times New Roman" w:eastAsia="宋体" w:hAnsi="Times New Roman" w:cs="Times New Roman" w:hint="eastAsia"/>
          <w:kern w:val="0"/>
          <w:sz w:val="22"/>
          <w:szCs w:val="22"/>
        </w:rPr>
        <w:t xml:space="preserve">iaturisation and drug-induced regrowth. Plast </w:t>
      </w:r>
      <w:r>
        <w:rPr>
          <w:rFonts w:ascii="Times New Roman" w:eastAsia="宋体" w:hAnsi="Times New Roman" w:cs="Times New Roman" w:hint="eastAsia"/>
          <w:kern w:val="0"/>
          <w:sz w:val="22"/>
          <w:szCs w:val="22"/>
        </w:rPr>
        <w:lastRenderedPageBreak/>
        <w:t>Aesthet Res 2021;8(16), doi: 10.20517/2347-9264.2020.220.</w:t>
      </w:r>
    </w:p>
    <w:p w:rsidR="004065A9" w:rsidRDefault="004065A9"/>
    <w:sectPr w:rsidR="004065A9" w:rsidSect="004065A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31">
      <wne:fci wne:fciName="FontColorPicker" wne:swArg="0000"/>
    </wne:keymap>
    <wne:keymap wne:kcmPrimary="0451">
      <wne:fci wne:fciName="FillColorPicker" wne:swArg="0000"/>
    </wne:keymap>
    <wne:keymap wne:kcmPrimary="0457">
      <wne:fci wne:fciName="Superscript" wne:swArg="0000"/>
    </wne:keymap>
  </wne:keymaps>
</wne:tcg>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zIxMzgyY2MxY2EzMjQ1OWQ2ODExZTk5YjVjOWFjYjUifQ=="/>
  </w:docVars>
  <w:rsids>
    <w:rsidRoot w:val="004065A9"/>
    <w:rsid w:val="004065A9"/>
    <w:rsid w:val="00795552"/>
    <w:rsid w:val="3C272739"/>
    <w:rsid w:val="3C5A0F14"/>
    <w:rsid w:val="45185BA9"/>
    <w:rsid w:val="5A47144C"/>
    <w:rsid w:val="672B6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5A9"/>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95552"/>
    <w:rPr>
      <w:rFonts w:ascii="Tahoma" w:hAnsi="Tahoma" w:cs="Tahoma"/>
      <w:sz w:val="16"/>
      <w:szCs w:val="16"/>
    </w:rPr>
  </w:style>
  <w:style w:type="character" w:customStyle="1" w:styleId="BalloonTextChar">
    <w:name w:val="Balloon Text Char"/>
    <w:basedOn w:val="DefaultParagraphFont"/>
    <w:link w:val="BalloonText"/>
    <w:rsid w:val="00795552"/>
    <w:rPr>
      <w:rFonts w:ascii="Tahoma"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Robin Wei</cp:lastModifiedBy>
  <cp:revision>2</cp:revision>
  <dcterms:created xsi:type="dcterms:W3CDTF">2023-12-07T02:07:00Z</dcterms:created>
  <dcterms:modified xsi:type="dcterms:W3CDTF">2024-06-11T02:05:00Z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1C673A35189F4C308481E8FAA0FD5382_12</vt:lpwstr>
  </property>
</Properties>
</file>