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670" w14:textId="77777777" w:rsidR="002551B8" w:rsidRPr="0081152F" w:rsidRDefault="00AA058A" w:rsidP="004E06ED">
      <w:pPr>
        <w:spacing w:line="480" w:lineRule="auto"/>
        <w:jc w:val="both"/>
        <w:rPr>
          <w:rFonts w:ascii="Times New Roman" w:eastAsia="等线" w:hAnsi="Times New Roman" w:cs="Times New Roman"/>
          <w:lang w:bidi="ar"/>
          <w14:ligatures w14:val="standardContextual"/>
        </w:rPr>
      </w:pPr>
      <w:r w:rsidRPr="00AA058A">
        <w:rPr>
          <w:rFonts w:ascii="Calibri" w:hAnsi="Calibri" w:cs="Calibri"/>
          <w:b/>
          <w:bCs/>
        </w:rPr>
        <w:t xml:space="preserve">Supplementary </w:t>
      </w:r>
      <w:r w:rsidR="002551B8">
        <w:rPr>
          <w:rFonts w:ascii="Calibri" w:hAnsi="Calibri" w:cs="Calibri" w:hint="eastAsia"/>
          <w:b/>
          <w:bCs/>
          <w:lang w:eastAsia="zh-CN"/>
        </w:rPr>
        <w:t xml:space="preserve">materials of </w:t>
      </w:r>
      <w:bookmarkStart w:id="0" w:name="_Hlk216278790"/>
      <w:r w:rsidR="002551B8" w:rsidRPr="002551B8">
        <w:rPr>
          <w:rFonts w:ascii="Times New Roman" w:eastAsia="等线" w:hAnsi="Times New Roman" w:cs="Times New Roman"/>
          <w:i/>
          <w:iCs/>
          <w:lang w:bidi="ar"/>
          <w14:ligatures w14:val="standardContextual"/>
        </w:rPr>
        <w:t>Real-world effectiveness and safety of coblopasvir plus sofosbuvir in treatment of chronic hepatitis C infection in</w:t>
      </w:r>
      <w:r w:rsidR="002551B8" w:rsidRPr="002551B8">
        <w:rPr>
          <w:rFonts w:ascii="Times New Roman" w:eastAsia="等线" w:hAnsi="Times New Roman" w:cs="Times New Roman" w:hint="eastAsia"/>
          <w:i/>
          <w:iCs/>
          <w:lang w:bidi="ar"/>
          <w14:ligatures w14:val="standardContextual"/>
        </w:rPr>
        <w:t xml:space="preserve"> Wenzhou,</w:t>
      </w:r>
      <w:r w:rsidR="002551B8" w:rsidRPr="002551B8">
        <w:rPr>
          <w:rFonts w:ascii="Times New Roman" w:eastAsia="等线" w:hAnsi="Times New Roman" w:cs="Times New Roman"/>
          <w:i/>
          <w:iCs/>
          <w:lang w:bidi="ar"/>
          <w14:ligatures w14:val="standardContextual"/>
        </w:rPr>
        <w:t xml:space="preserve"> Eastern China: A multicenter observational study</w:t>
      </w:r>
      <w:bookmarkEnd w:id="0"/>
    </w:p>
    <w:p w14:paraId="57384598" w14:textId="7FB96BCF" w:rsidR="00AA058A" w:rsidRDefault="00AA058A" w:rsidP="00AA058A">
      <w:pPr>
        <w:spacing w:line="480" w:lineRule="auto"/>
        <w:contextualSpacing/>
        <w:rPr>
          <w:rFonts w:ascii="Calibri" w:hAnsi="Calibri" w:cs="Calibri"/>
          <w:b/>
          <w:bCs/>
          <w:lang w:eastAsia="zh-CN"/>
        </w:rPr>
      </w:pPr>
    </w:p>
    <w:p w14:paraId="40E0BB7B" w14:textId="35A6A7B7" w:rsidR="003424C5" w:rsidRPr="00C534CD" w:rsidRDefault="003424C5" w:rsidP="00831761">
      <w:pPr>
        <w:rPr>
          <w:rFonts w:ascii="Times New Roman" w:hAnsi="Times New Roman" w:cs="Times New Roman"/>
          <w:b/>
          <w:bCs/>
          <w:lang w:eastAsia="zh-CN"/>
        </w:rPr>
      </w:pPr>
      <w:r w:rsidRPr="00C534CD">
        <w:rPr>
          <w:rFonts w:ascii="Times New Roman" w:hAnsi="Times New Roman" w:cs="Times New Roman"/>
          <w:b/>
          <w:bCs/>
          <w:lang w:eastAsia="zh-CN"/>
        </w:rPr>
        <w:t xml:space="preserve">Supplementary Table 1. Adverse events in HCV-infected patients treated with coblopasvir plus sofosbuvir regimen in </w:t>
      </w:r>
      <w:r w:rsidR="00C534CD" w:rsidRPr="00C534CD">
        <w:rPr>
          <w:rFonts w:ascii="Times New Roman" w:hAnsi="Times New Roman" w:cs="Times New Roman"/>
          <w:b/>
          <w:bCs/>
          <w:lang w:eastAsia="zh-CN"/>
        </w:rPr>
        <w:t>Wenzhou, Eastern China</w:t>
      </w:r>
      <w:r w:rsidR="00C534CD" w:rsidRPr="00C534CD">
        <w:rPr>
          <w:rFonts w:ascii="Times New Roman" w:hAnsi="Times New Roman" w:cs="Times New Roman"/>
          <w:b/>
          <w:bCs/>
          <w:lang w:eastAsia="zh-CN"/>
        </w:rPr>
        <w:t>.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2414"/>
      </w:tblGrid>
      <w:tr w:rsidR="003424C5" w:rsidRPr="00831761" w14:paraId="2C96BF55" w14:textId="77777777" w:rsidTr="00E22081">
        <w:trPr>
          <w:trHeight w:val="280"/>
        </w:trPr>
        <w:tc>
          <w:tcPr>
            <w:tcW w:w="577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8852F22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41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86DEFD5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Number (N=113)</w:t>
            </w:r>
          </w:p>
        </w:tc>
      </w:tr>
      <w:tr w:rsidR="003424C5" w:rsidRPr="00831761" w14:paraId="1A13E86E" w14:textId="77777777" w:rsidTr="00E22081">
        <w:trPr>
          <w:trHeight w:val="280"/>
        </w:trPr>
        <w:tc>
          <w:tcPr>
            <w:tcW w:w="5774" w:type="dxa"/>
            <w:tcBorders>
              <w:top w:val="single" w:sz="8" w:space="0" w:color="auto"/>
            </w:tcBorders>
            <w:noWrap/>
          </w:tcPr>
          <w:p w14:paraId="2E36EA95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serious AEs</w:t>
            </w:r>
          </w:p>
        </w:tc>
        <w:tc>
          <w:tcPr>
            <w:tcW w:w="2414" w:type="dxa"/>
            <w:tcBorders>
              <w:top w:val="single" w:sz="8" w:space="0" w:color="auto"/>
            </w:tcBorders>
            <w:noWrap/>
          </w:tcPr>
          <w:p w14:paraId="0BD233A5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24C5" w:rsidRPr="00831761" w14:paraId="5803793F" w14:textId="77777777" w:rsidTr="00E22081">
        <w:trPr>
          <w:trHeight w:val="280"/>
        </w:trPr>
        <w:tc>
          <w:tcPr>
            <w:tcW w:w="5774" w:type="dxa"/>
            <w:noWrap/>
          </w:tcPr>
          <w:p w14:paraId="08C8933D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 leading to premature drug discontinuation</w:t>
            </w:r>
          </w:p>
        </w:tc>
        <w:tc>
          <w:tcPr>
            <w:tcW w:w="2414" w:type="dxa"/>
            <w:noWrap/>
          </w:tcPr>
          <w:p w14:paraId="11C54562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24C5" w:rsidRPr="00831761" w14:paraId="40FBBDFB" w14:textId="77777777" w:rsidTr="00E22081">
        <w:trPr>
          <w:trHeight w:val="280"/>
        </w:trPr>
        <w:tc>
          <w:tcPr>
            <w:tcW w:w="5774" w:type="dxa"/>
            <w:noWrap/>
          </w:tcPr>
          <w:p w14:paraId="184F4C04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Adverse event leading to drug interruption</w:t>
            </w:r>
          </w:p>
        </w:tc>
        <w:tc>
          <w:tcPr>
            <w:tcW w:w="2414" w:type="dxa"/>
            <w:noWrap/>
          </w:tcPr>
          <w:p w14:paraId="3523FF09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24C5" w:rsidRPr="00831761" w14:paraId="7D7568DA" w14:textId="77777777" w:rsidTr="00E22081">
        <w:trPr>
          <w:trHeight w:val="280"/>
        </w:trPr>
        <w:tc>
          <w:tcPr>
            <w:tcW w:w="5774" w:type="dxa"/>
            <w:noWrap/>
          </w:tcPr>
          <w:p w14:paraId="14B42B7D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414" w:type="dxa"/>
            <w:noWrap/>
          </w:tcPr>
          <w:p w14:paraId="5EF52410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24C5" w:rsidRPr="00831761" w14:paraId="5ED6DF1D" w14:textId="77777777" w:rsidTr="00E22081">
        <w:trPr>
          <w:trHeight w:val="280"/>
        </w:trPr>
        <w:tc>
          <w:tcPr>
            <w:tcW w:w="5774" w:type="dxa"/>
            <w:noWrap/>
          </w:tcPr>
          <w:p w14:paraId="1C447ABE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TEAEs or TEAE-related study drug ≥ 5%</w:t>
            </w:r>
          </w:p>
        </w:tc>
        <w:tc>
          <w:tcPr>
            <w:tcW w:w="2414" w:type="dxa"/>
            <w:noWrap/>
          </w:tcPr>
          <w:p w14:paraId="0A259522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24C5" w:rsidRPr="00831761" w14:paraId="609426C8" w14:textId="77777777" w:rsidTr="00E22081">
        <w:trPr>
          <w:trHeight w:val="280"/>
        </w:trPr>
        <w:tc>
          <w:tcPr>
            <w:tcW w:w="5774" w:type="dxa"/>
            <w:noWrap/>
          </w:tcPr>
          <w:p w14:paraId="743A4A5A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TEAE related to drug ≥ 1%</w:t>
            </w:r>
          </w:p>
        </w:tc>
        <w:tc>
          <w:tcPr>
            <w:tcW w:w="2414" w:type="dxa"/>
            <w:noWrap/>
          </w:tcPr>
          <w:p w14:paraId="7B435155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4C5" w:rsidRPr="00831761" w14:paraId="026A16FC" w14:textId="77777777" w:rsidTr="00E22081">
        <w:trPr>
          <w:trHeight w:val="280"/>
        </w:trPr>
        <w:tc>
          <w:tcPr>
            <w:tcW w:w="5774" w:type="dxa"/>
            <w:noWrap/>
          </w:tcPr>
          <w:p w14:paraId="2EA0BF11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Headache</w:t>
            </w:r>
          </w:p>
        </w:tc>
        <w:tc>
          <w:tcPr>
            <w:tcW w:w="2414" w:type="dxa"/>
            <w:noWrap/>
          </w:tcPr>
          <w:p w14:paraId="67CEC50B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3 (2.7%)</w:t>
            </w:r>
          </w:p>
        </w:tc>
      </w:tr>
      <w:tr w:rsidR="003424C5" w:rsidRPr="00831761" w14:paraId="363A8769" w14:textId="77777777" w:rsidTr="00E22081">
        <w:trPr>
          <w:trHeight w:val="280"/>
        </w:trPr>
        <w:tc>
          <w:tcPr>
            <w:tcW w:w="5774" w:type="dxa"/>
            <w:noWrap/>
          </w:tcPr>
          <w:p w14:paraId="3B0068CF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Nausea</w:t>
            </w:r>
          </w:p>
        </w:tc>
        <w:tc>
          <w:tcPr>
            <w:tcW w:w="2414" w:type="dxa"/>
            <w:noWrap/>
          </w:tcPr>
          <w:p w14:paraId="19C1ADF0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2 (1.8%)</w:t>
            </w:r>
          </w:p>
        </w:tc>
      </w:tr>
      <w:tr w:rsidR="003424C5" w:rsidRPr="00831761" w14:paraId="3E344822" w14:textId="77777777" w:rsidTr="00E22081">
        <w:trPr>
          <w:trHeight w:val="280"/>
        </w:trPr>
        <w:tc>
          <w:tcPr>
            <w:tcW w:w="5774" w:type="dxa"/>
            <w:noWrap/>
          </w:tcPr>
          <w:p w14:paraId="7E699BF6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Fatigue</w:t>
            </w:r>
          </w:p>
        </w:tc>
        <w:tc>
          <w:tcPr>
            <w:tcW w:w="2414" w:type="dxa"/>
            <w:noWrap/>
          </w:tcPr>
          <w:p w14:paraId="34911DE2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2 (1.8%)</w:t>
            </w:r>
          </w:p>
        </w:tc>
      </w:tr>
      <w:tr w:rsidR="003424C5" w:rsidRPr="00831761" w14:paraId="6F2FDBD8" w14:textId="77777777" w:rsidTr="00E22081">
        <w:trPr>
          <w:trHeight w:val="280"/>
        </w:trPr>
        <w:tc>
          <w:tcPr>
            <w:tcW w:w="5774" w:type="dxa"/>
            <w:noWrap/>
          </w:tcPr>
          <w:p w14:paraId="76C022CE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Upper respiratory tract infection</w:t>
            </w:r>
          </w:p>
        </w:tc>
        <w:tc>
          <w:tcPr>
            <w:tcW w:w="2414" w:type="dxa"/>
            <w:noWrap/>
          </w:tcPr>
          <w:p w14:paraId="44042C9A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1 (0.9%)</w:t>
            </w:r>
          </w:p>
        </w:tc>
      </w:tr>
      <w:tr w:rsidR="003424C5" w:rsidRPr="00831761" w14:paraId="27FA8ED0" w14:textId="77777777" w:rsidTr="00E22081">
        <w:trPr>
          <w:trHeight w:val="280"/>
        </w:trPr>
        <w:tc>
          <w:tcPr>
            <w:tcW w:w="5774" w:type="dxa"/>
            <w:noWrap/>
          </w:tcPr>
          <w:p w14:paraId="1A11EDC0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Toothache</w:t>
            </w:r>
          </w:p>
        </w:tc>
        <w:tc>
          <w:tcPr>
            <w:tcW w:w="2414" w:type="dxa"/>
            <w:noWrap/>
          </w:tcPr>
          <w:p w14:paraId="3CDA9107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1 (0.9%)</w:t>
            </w:r>
          </w:p>
        </w:tc>
      </w:tr>
      <w:tr w:rsidR="003424C5" w:rsidRPr="00831761" w14:paraId="29CD9026" w14:textId="77777777" w:rsidTr="00E22081">
        <w:trPr>
          <w:trHeight w:val="280"/>
        </w:trPr>
        <w:tc>
          <w:tcPr>
            <w:tcW w:w="5774" w:type="dxa"/>
            <w:noWrap/>
          </w:tcPr>
          <w:p w14:paraId="52459029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Grade 3 to 5</w:t>
            </w:r>
          </w:p>
        </w:tc>
        <w:tc>
          <w:tcPr>
            <w:tcW w:w="2414" w:type="dxa"/>
            <w:noWrap/>
            <w:vAlign w:val="center"/>
          </w:tcPr>
          <w:p w14:paraId="51B8637D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24C5" w:rsidRPr="00831761" w14:paraId="01034366" w14:textId="77777777" w:rsidTr="00E22081">
        <w:trPr>
          <w:trHeight w:val="280"/>
        </w:trPr>
        <w:tc>
          <w:tcPr>
            <w:tcW w:w="5774" w:type="dxa"/>
            <w:noWrap/>
          </w:tcPr>
          <w:p w14:paraId="4E1FBE32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Laboratory abnormalities ≥1%</w:t>
            </w:r>
          </w:p>
        </w:tc>
        <w:tc>
          <w:tcPr>
            <w:tcW w:w="2414" w:type="dxa"/>
            <w:noWrap/>
          </w:tcPr>
          <w:p w14:paraId="32D06D70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4C5" w:rsidRPr="00831761" w14:paraId="2050CE12" w14:textId="77777777" w:rsidTr="00E22081">
        <w:trPr>
          <w:trHeight w:val="280"/>
        </w:trPr>
        <w:tc>
          <w:tcPr>
            <w:tcW w:w="5774" w:type="dxa"/>
            <w:noWrap/>
          </w:tcPr>
          <w:p w14:paraId="753D4E22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Neutropenia</w:t>
            </w:r>
          </w:p>
        </w:tc>
        <w:tc>
          <w:tcPr>
            <w:tcW w:w="2414" w:type="dxa"/>
            <w:noWrap/>
          </w:tcPr>
          <w:p w14:paraId="4BEB6364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2 (1.8%)</w:t>
            </w:r>
          </w:p>
        </w:tc>
      </w:tr>
      <w:tr w:rsidR="003424C5" w:rsidRPr="00831761" w14:paraId="5E0F97DF" w14:textId="77777777" w:rsidTr="00E22081">
        <w:trPr>
          <w:trHeight w:val="280"/>
        </w:trPr>
        <w:tc>
          <w:tcPr>
            <w:tcW w:w="5774" w:type="dxa"/>
            <w:noWrap/>
          </w:tcPr>
          <w:p w14:paraId="56FE3ABD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Hyperbilirubinemia</w:t>
            </w:r>
          </w:p>
        </w:tc>
        <w:tc>
          <w:tcPr>
            <w:tcW w:w="2414" w:type="dxa"/>
            <w:noWrap/>
          </w:tcPr>
          <w:p w14:paraId="72205952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1 (0.9%)</w:t>
            </w:r>
          </w:p>
        </w:tc>
      </w:tr>
      <w:tr w:rsidR="003424C5" w:rsidRPr="00831761" w14:paraId="1ABA034D" w14:textId="77777777" w:rsidTr="00E22081">
        <w:trPr>
          <w:trHeight w:val="280"/>
        </w:trPr>
        <w:tc>
          <w:tcPr>
            <w:tcW w:w="5774" w:type="dxa"/>
            <w:noWrap/>
          </w:tcPr>
          <w:p w14:paraId="1742343C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Thrombocytopenia</w:t>
            </w:r>
          </w:p>
        </w:tc>
        <w:tc>
          <w:tcPr>
            <w:tcW w:w="2414" w:type="dxa"/>
            <w:noWrap/>
          </w:tcPr>
          <w:p w14:paraId="61DA9CB0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1 (0.9%)</w:t>
            </w:r>
          </w:p>
        </w:tc>
      </w:tr>
      <w:tr w:rsidR="003424C5" w:rsidRPr="00831761" w14:paraId="61CAA073" w14:textId="77777777" w:rsidTr="00E22081">
        <w:trPr>
          <w:trHeight w:val="280"/>
        </w:trPr>
        <w:tc>
          <w:tcPr>
            <w:tcW w:w="5774" w:type="dxa"/>
            <w:noWrap/>
          </w:tcPr>
          <w:p w14:paraId="6D1D6202" w14:textId="77777777" w:rsidR="003424C5" w:rsidRPr="00831761" w:rsidRDefault="003424C5" w:rsidP="004E06ED">
            <w:pPr>
              <w:spacing w:after="0"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Hypohemoglobinemia</w:t>
            </w:r>
            <w:proofErr w:type="spellEnd"/>
          </w:p>
        </w:tc>
        <w:tc>
          <w:tcPr>
            <w:tcW w:w="2414" w:type="dxa"/>
            <w:noWrap/>
          </w:tcPr>
          <w:p w14:paraId="1B45DA0B" w14:textId="77777777" w:rsidR="003424C5" w:rsidRPr="00831761" w:rsidRDefault="003424C5" w:rsidP="004E06E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761">
              <w:rPr>
                <w:rFonts w:ascii="Times New Roman" w:hAnsi="Times New Roman" w:cs="Times New Roman"/>
                <w:sz w:val="24"/>
                <w:szCs w:val="24"/>
              </w:rPr>
              <w:t>1 (0.9%)</w:t>
            </w:r>
          </w:p>
        </w:tc>
      </w:tr>
    </w:tbl>
    <w:p w14:paraId="3137B327" w14:textId="301F3544" w:rsidR="00AA058A" w:rsidRPr="00831761" w:rsidRDefault="003424C5" w:rsidP="004E06ED">
      <w:pPr>
        <w:spacing w:after="0" w:line="360" w:lineRule="auto"/>
        <w:rPr>
          <w:rFonts w:ascii="Times New Roman" w:hAnsi="Times New Roman" w:cs="Times New Roman"/>
          <w:lang w:eastAsia="zh-CN"/>
        </w:rPr>
      </w:pPr>
      <w:r w:rsidRPr="00831761">
        <w:rPr>
          <w:rFonts w:ascii="Times New Roman" w:hAnsi="Times New Roman" w:cs="Times New Roman"/>
        </w:rPr>
        <w:t>AE, adverse event; TEAE, Treatment Emergent Adverse Event.</w:t>
      </w:r>
    </w:p>
    <w:sectPr w:rsidR="00AA058A" w:rsidRPr="0083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6E98" w14:textId="77777777" w:rsidR="001175B6" w:rsidRDefault="001175B6" w:rsidP="00E66DC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96D030" w14:textId="77777777" w:rsidR="001175B6" w:rsidRDefault="001175B6" w:rsidP="00E66DC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A8ED" w14:textId="77777777" w:rsidR="001175B6" w:rsidRDefault="001175B6" w:rsidP="00E66D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D05251" w14:textId="77777777" w:rsidR="001175B6" w:rsidRDefault="001175B6" w:rsidP="00E66D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8A"/>
    <w:rsid w:val="001175B6"/>
    <w:rsid w:val="002551B8"/>
    <w:rsid w:val="002C021E"/>
    <w:rsid w:val="002E62C5"/>
    <w:rsid w:val="002F6F40"/>
    <w:rsid w:val="003424C5"/>
    <w:rsid w:val="003E28AA"/>
    <w:rsid w:val="00411515"/>
    <w:rsid w:val="004669D0"/>
    <w:rsid w:val="004E06ED"/>
    <w:rsid w:val="00544D3B"/>
    <w:rsid w:val="00564F8E"/>
    <w:rsid w:val="00600E8E"/>
    <w:rsid w:val="007C5FCD"/>
    <w:rsid w:val="00831761"/>
    <w:rsid w:val="009F6666"/>
    <w:rsid w:val="00A43733"/>
    <w:rsid w:val="00AA058A"/>
    <w:rsid w:val="00C05ADA"/>
    <w:rsid w:val="00C534CD"/>
    <w:rsid w:val="00CA4689"/>
    <w:rsid w:val="00D70F2B"/>
    <w:rsid w:val="00DF0D56"/>
    <w:rsid w:val="00E66DCF"/>
    <w:rsid w:val="00F1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B7C0"/>
  <w15:chartTrackingRefBased/>
  <w15:docId w15:val="{6EB790A8-5F92-4E2A-9B4F-AE98F6A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58A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58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58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8A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58A"/>
    <w:pPr>
      <w:keepNext/>
      <w:keepLines/>
      <w:widowControl w:val="0"/>
      <w:spacing w:before="80" w:after="40" w:line="278" w:lineRule="auto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58A"/>
    <w:pPr>
      <w:keepNext/>
      <w:keepLines/>
      <w:widowControl w:val="0"/>
      <w:spacing w:before="80" w:after="40" w:line="278" w:lineRule="auto"/>
      <w:outlineLvl w:val="4"/>
    </w:pPr>
    <w:rPr>
      <w:rFonts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58A"/>
    <w:pPr>
      <w:keepNext/>
      <w:keepLines/>
      <w:widowControl w:val="0"/>
      <w:spacing w:before="40" w:after="0" w:line="278" w:lineRule="auto"/>
      <w:outlineLvl w:val="5"/>
    </w:pPr>
    <w:rPr>
      <w:rFonts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58A"/>
    <w:pPr>
      <w:keepNext/>
      <w:keepLines/>
      <w:widowControl w:val="0"/>
      <w:spacing w:before="40" w:after="0" w:line="278" w:lineRule="auto"/>
      <w:outlineLvl w:val="6"/>
    </w:pPr>
    <w:rPr>
      <w:rFonts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58A"/>
    <w:pPr>
      <w:keepNext/>
      <w:keepLines/>
      <w:widowControl w:val="0"/>
      <w:spacing w:after="0" w:line="278" w:lineRule="auto"/>
      <w:outlineLvl w:val="7"/>
    </w:pPr>
    <w:rPr>
      <w:rFonts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58A"/>
    <w:pPr>
      <w:keepNext/>
      <w:keepLines/>
      <w:widowControl w:val="0"/>
      <w:spacing w:after="0" w:line="278" w:lineRule="auto"/>
      <w:outlineLvl w:val="8"/>
    </w:pPr>
    <w:rPr>
      <w:rFonts w:eastAsiaTheme="majorEastAsia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58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A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58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A0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58A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A0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58A"/>
    <w:pPr>
      <w:widowControl w:val="0"/>
      <w:spacing w:after="160" w:line="278" w:lineRule="auto"/>
      <w:ind w:left="720"/>
      <w:contextualSpacing/>
    </w:pPr>
    <w:rPr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A0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58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A0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58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6D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6DCF"/>
    <w:rPr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E66D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6DCF"/>
    <w:rPr>
      <w:kern w:val="0"/>
      <w:sz w:val="18"/>
      <w:szCs w:val="18"/>
      <w:lang w:eastAsia="en-US"/>
      <w14:ligatures w14:val="none"/>
    </w:rPr>
  </w:style>
  <w:style w:type="paragraph" w:customStyle="1" w:styleId="ds-markdown-paragraph">
    <w:name w:val="ds-markdown-paragraph"/>
    <w:basedOn w:val="a"/>
    <w:rsid w:val="002551B8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table" w:styleId="af2">
    <w:name w:val="Table Grid"/>
    <w:basedOn w:val="a1"/>
    <w:uiPriority w:val="39"/>
    <w:qFormat/>
    <w:rsid w:val="003424C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-Y</dc:creator>
  <cp:keywords/>
  <dc:description/>
  <cp:lastModifiedBy>-Y</cp:lastModifiedBy>
  <cp:revision>10</cp:revision>
  <dcterms:created xsi:type="dcterms:W3CDTF">2026-01-21T08:12:00Z</dcterms:created>
  <dcterms:modified xsi:type="dcterms:W3CDTF">2026-02-08T05:18:00Z</dcterms:modified>
</cp:coreProperties>
</file>