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C670" w14:textId="77777777" w:rsidR="002551B8" w:rsidRPr="0081152F" w:rsidRDefault="00AA058A" w:rsidP="002551B8">
      <w:pPr>
        <w:spacing w:line="480" w:lineRule="auto"/>
        <w:rPr>
          <w:rFonts w:ascii="Times New Roman" w:eastAsia="等线" w:hAnsi="Times New Roman" w:cs="Times New Roman"/>
          <w:lang w:bidi="ar"/>
          <w14:ligatures w14:val="standardContextual"/>
        </w:rPr>
      </w:pPr>
      <w:r w:rsidRPr="00AA058A">
        <w:rPr>
          <w:rFonts w:ascii="Calibri" w:hAnsi="Calibri" w:cs="Calibri"/>
          <w:b/>
          <w:bCs/>
        </w:rPr>
        <w:t xml:space="preserve">Supplementary </w:t>
      </w:r>
      <w:r w:rsidR="002551B8">
        <w:rPr>
          <w:rFonts w:ascii="Calibri" w:hAnsi="Calibri" w:cs="Calibri" w:hint="eastAsia"/>
          <w:b/>
          <w:bCs/>
          <w:lang w:eastAsia="zh-CN"/>
        </w:rPr>
        <w:t xml:space="preserve">materials of </w:t>
      </w:r>
      <w:bookmarkStart w:id="0" w:name="_Hlk216278790"/>
      <w:r w:rsidR="002551B8" w:rsidRPr="002551B8">
        <w:rPr>
          <w:rFonts w:ascii="Times New Roman" w:eastAsia="等线" w:hAnsi="Times New Roman" w:cs="Times New Roman"/>
          <w:i/>
          <w:iCs/>
          <w:lang w:bidi="ar"/>
          <w14:ligatures w14:val="standardContextual"/>
        </w:rPr>
        <w:t>Real-world effectiveness and safety of coblopasvir plus sofosbuvir in treatment of chronic hepatitis C infection in</w:t>
      </w:r>
      <w:r w:rsidR="002551B8" w:rsidRPr="002551B8">
        <w:rPr>
          <w:rFonts w:ascii="Times New Roman" w:eastAsia="等线" w:hAnsi="Times New Roman" w:cs="Times New Roman" w:hint="eastAsia"/>
          <w:i/>
          <w:iCs/>
          <w:lang w:bidi="ar"/>
          <w14:ligatures w14:val="standardContextual"/>
        </w:rPr>
        <w:t xml:space="preserve"> Wenzhou,</w:t>
      </w:r>
      <w:r w:rsidR="002551B8" w:rsidRPr="002551B8">
        <w:rPr>
          <w:rFonts w:ascii="Times New Roman" w:eastAsia="等线" w:hAnsi="Times New Roman" w:cs="Times New Roman"/>
          <w:i/>
          <w:iCs/>
          <w:lang w:bidi="ar"/>
          <w14:ligatures w14:val="standardContextual"/>
        </w:rPr>
        <w:t xml:space="preserve"> Eastern China: A multicenter observational study</w:t>
      </w:r>
      <w:bookmarkEnd w:id="0"/>
    </w:p>
    <w:p w14:paraId="57384598" w14:textId="7FB96BCF" w:rsidR="00AA058A" w:rsidRDefault="00AA058A" w:rsidP="00AA058A">
      <w:pPr>
        <w:spacing w:line="480" w:lineRule="auto"/>
        <w:contextualSpacing/>
        <w:rPr>
          <w:rFonts w:ascii="Calibri" w:hAnsi="Calibri" w:cs="Calibri"/>
          <w:b/>
          <w:bCs/>
          <w:lang w:eastAsia="zh-CN"/>
        </w:rPr>
      </w:pPr>
    </w:p>
    <w:p w14:paraId="157E8275" w14:textId="2BE2F62C" w:rsidR="002551B8" w:rsidRPr="009F6666" w:rsidRDefault="002551B8" w:rsidP="00AA058A">
      <w:pPr>
        <w:spacing w:line="480" w:lineRule="auto"/>
        <w:contextualSpacing/>
        <w:rPr>
          <w:rFonts w:ascii="Times New Roman" w:hAnsi="Times New Roman" w:cs="Times New Roman"/>
          <w:b/>
          <w:bCs/>
          <w:sz w:val="24"/>
          <w:szCs w:val="24"/>
          <w:lang w:eastAsia="zh-CN"/>
        </w:rPr>
      </w:pPr>
      <w:r w:rsidRPr="009F6666">
        <w:rPr>
          <w:rFonts w:ascii="Times New Roman" w:hAnsi="Times New Roman" w:cs="Times New Roman"/>
          <w:b/>
          <w:bCs/>
          <w:sz w:val="24"/>
          <w:szCs w:val="24"/>
          <w:lang w:eastAsia="zh-CN"/>
        </w:rPr>
        <w:t>Methods</w:t>
      </w:r>
    </w:p>
    <w:p w14:paraId="3EB730BC" w14:textId="77777777" w:rsidR="002551B8" w:rsidRPr="009F6666" w:rsidRDefault="002551B8" w:rsidP="002551B8">
      <w:pPr>
        <w:spacing w:line="480" w:lineRule="auto"/>
        <w:ind w:firstLineChars="200" w:firstLine="480"/>
        <w:jc w:val="both"/>
        <w:rPr>
          <w:rFonts w:ascii="Times New Roman" w:eastAsia="等线" w:hAnsi="Times New Roman" w:cs="Times New Roman"/>
          <w:sz w:val="24"/>
          <w:szCs w:val="24"/>
          <w:lang w:bidi="ar"/>
          <w14:ligatures w14:val="standardContextual"/>
        </w:rPr>
      </w:pPr>
      <w:r w:rsidRPr="009F6666">
        <w:rPr>
          <w:rFonts w:ascii="Times New Roman" w:eastAsia="等线" w:hAnsi="Times New Roman" w:cs="Times New Roman"/>
          <w:sz w:val="24"/>
          <w:szCs w:val="24"/>
          <w:lang w:bidi="ar"/>
          <w14:ligatures w14:val="standardContextual"/>
        </w:rPr>
        <w:t xml:space="preserve">We conducted a real-world retrospective observational study at three liver disease centers in Wenzhou City, Zhejiang Province, Eastern China (The Third Affiliated Hospital of Wenzhou Medical University, </w:t>
      </w:r>
      <w:proofErr w:type="spellStart"/>
      <w:r w:rsidRPr="009F6666">
        <w:rPr>
          <w:rFonts w:ascii="Times New Roman" w:eastAsia="等线" w:hAnsi="Times New Roman" w:cs="Times New Roman"/>
          <w:sz w:val="24"/>
          <w:szCs w:val="24"/>
          <w:lang w:bidi="ar"/>
          <w14:ligatures w14:val="standardContextual"/>
        </w:rPr>
        <w:t>Pingyang</w:t>
      </w:r>
      <w:proofErr w:type="spellEnd"/>
      <w:r w:rsidRPr="009F6666">
        <w:rPr>
          <w:rFonts w:ascii="Times New Roman" w:eastAsia="等线" w:hAnsi="Times New Roman" w:cs="Times New Roman"/>
          <w:sz w:val="24"/>
          <w:szCs w:val="24"/>
          <w:lang w:bidi="ar"/>
          <w14:ligatures w14:val="standardContextual"/>
        </w:rPr>
        <w:t xml:space="preserve"> People’s Hospital, and Yueqing People’s Hospital), collecting data from June 2023 to October 2024. The study was approved by the Medical Ethics Committee of The Third Affiliated Hospital of Wenzhou Medical University (Approval No. YJ2025032) and conducted in accordance with the principles of </w:t>
      </w:r>
      <w:bookmarkStart w:id="1" w:name="OLE_LINK2"/>
      <w:r w:rsidRPr="009F6666">
        <w:rPr>
          <w:rFonts w:ascii="Times New Roman" w:eastAsia="等线" w:hAnsi="Times New Roman" w:cs="Times New Roman"/>
          <w:sz w:val="24"/>
          <w:szCs w:val="24"/>
          <w:lang w:bidi="ar"/>
          <w14:ligatures w14:val="standardContextual"/>
        </w:rPr>
        <w:t>the Declaration of Helsinki.</w:t>
      </w:r>
      <w:bookmarkEnd w:id="1"/>
      <w:r w:rsidRPr="009F6666">
        <w:rPr>
          <w:rFonts w:ascii="Times New Roman" w:eastAsia="等线" w:hAnsi="Times New Roman" w:cs="Times New Roman"/>
          <w:sz w:val="24"/>
          <w:szCs w:val="24"/>
          <w:lang w:bidi="ar"/>
          <w14:ligatures w14:val="standardContextual"/>
        </w:rPr>
        <w:t xml:space="preserve"> All enrolled patients provided signed informed consent.</w:t>
      </w:r>
    </w:p>
    <w:p w14:paraId="14D58054" w14:textId="77777777" w:rsidR="002551B8" w:rsidRPr="009F6666" w:rsidRDefault="002551B8" w:rsidP="002551B8">
      <w:pPr>
        <w:spacing w:line="480" w:lineRule="auto"/>
        <w:ind w:firstLineChars="200" w:firstLine="480"/>
        <w:jc w:val="both"/>
        <w:rPr>
          <w:rFonts w:ascii="Times New Roman" w:eastAsia="等线" w:hAnsi="Times New Roman" w:cs="Times New Roman"/>
          <w:sz w:val="24"/>
          <w:szCs w:val="24"/>
          <w:lang w:bidi="ar"/>
          <w14:ligatures w14:val="standardContextual"/>
        </w:rPr>
      </w:pPr>
      <w:r w:rsidRPr="009F6666">
        <w:rPr>
          <w:rFonts w:ascii="Times New Roman" w:eastAsia="等线" w:hAnsi="Times New Roman" w:cs="Times New Roman"/>
          <w:sz w:val="24"/>
          <w:szCs w:val="24"/>
          <w:lang w:bidi="ar"/>
          <w14:ligatures w14:val="standardContextual"/>
        </w:rPr>
        <w:t xml:space="preserve">In this study, the diagnosis of chronic HCV infection was based on the Guideline for the Prevention and Treatment of Hepatitis C (2022 version) in China, which defines chronic infection as persistent HCV infection for ≥ 6 months after exposure. Inclusion criteria were as follows: patients aged ≥ 18 years; positive for anti-HCV antibodies, with a documented history of hepatitis C infection lasting &gt; 6 months; positive for HCV RNA in blood (&gt; 15 IU/mL; and treatment-naïve. Patients with HCV infection complicated by compensated cirrhosis, HCC, or co-infection with HBV or HIV were not excluded. Cirrhosis was diagnosed based on liver biopsy findings within 12 months before enrollment, liver stiffness measurement (LSM) &gt; 14.6 kPa by FibroScan, and/or </w:t>
      </w:r>
      <w:r w:rsidRPr="009F6666">
        <w:rPr>
          <w:rFonts w:ascii="Times New Roman" w:eastAsia="等线" w:hAnsi="Times New Roman" w:cs="Times New Roman"/>
          <w:sz w:val="24"/>
          <w:szCs w:val="24"/>
          <w:lang w:bidi="ar"/>
          <w14:ligatures w14:val="standardContextual"/>
        </w:rPr>
        <w:lastRenderedPageBreak/>
        <w:t>imaging evidence (such as splenomegaly or portal vein diameter &gt; 1.3 cm) on ultrasound, computed tomography (CT), or magnetic resonance imaging (MRI). Compensated cirrhosis was defined as the absence of portal-hypertension-related complications and/or hepatic decompensation. Patients were required not to plan for pregnancy during the study period and for 6 months after completion of treatment.</w:t>
      </w:r>
    </w:p>
    <w:p w14:paraId="5DA8DCCC" w14:textId="19579965" w:rsidR="002551B8" w:rsidRPr="009F6666" w:rsidRDefault="002551B8" w:rsidP="002551B8">
      <w:pPr>
        <w:spacing w:line="480" w:lineRule="auto"/>
        <w:ind w:firstLineChars="200" w:firstLine="480"/>
        <w:jc w:val="both"/>
        <w:rPr>
          <w:rFonts w:ascii="Times New Roman" w:eastAsia="等线" w:hAnsi="Times New Roman" w:cs="Times New Roman"/>
          <w:sz w:val="24"/>
          <w:szCs w:val="24"/>
          <w:lang w:bidi="ar"/>
          <w14:ligatures w14:val="standardContextual"/>
        </w:rPr>
      </w:pPr>
      <w:r w:rsidRPr="009F6666">
        <w:rPr>
          <w:rFonts w:ascii="Times New Roman" w:eastAsia="等线" w:hAnsi="Times New Roman" w:cs="Times New Roman"/>
          <w:sz w:val="24"/>
          <w:szCs w:val="24"/>
          <w:lang w:bidi="ar"/>
          <w14:ligatures w14:val="standardContextual"/>
        </w:rPr>
        <w:t>Patients meeting any of the following criteria were excluded: currently taking medications with significant drug–drug interaction (DDI) evidence with coblopasvir plus sofosbuvir; currently receiving anti-HCV antiviral therapy; prior failure of any interferon-based or direct-acting antiviral (DAA) treatment for HCV; history of other unexplained liver diseases; serum alanine aminotransferase (ALT) or aspartate aminotransferase (AST) levels &gt; 10 times the upper limit of normal; white blood cell count (WBC) &lt; 3 × 10⁹/L; neutrophil count &lt; 1.5 × 10⁹/L; platelet count (PLT) &lt; 50 × 10⁹/L; hemoglobin (Hb) &lt; 120 g/L for males or &lt; 110 g/L for females; serum creatinine clearance &lt; 50 mL/min calculated by the Cockcroft–Gault formula; presence of psychiatric or neurological disorders; severe cardiovascular, hematological, renal, gastrointestinal, or respiratory diseases; active or suspected malignancy, or history of malignancy within 5 years prior to DAA; history of major organ transplantation; and any other condition that, in the investigator’s judgment, may exclude the potential subject. The inclusion flowchart of chronic hepatitis C patients is shown in Supplementary Fig. 1.</w:t>
      </w:r>
    </w:p>
    <w:p w14:paraId="322B667C" w14:textId="1D325BC3" w:rsidR="002551B8" w:rsidRPr="009F6666" w:rsidRDefault="002551B8" w:rsidP="002551B8">
      <w:pPr>
        <w:spacing w:line="480" w:lineRule="auto"/>
        <w:ind w:firstLineChars="200" w:firstLine="480"/>
        <w:jc w:val="both"/>
        <w:rPr>
          <w:rFonts w:ascii="Times New Roman" w:eastAsia="等线" w:hAnsi="Times New Roman" w:cs="Times New Roman"/>
          <w:sz w:val="24"/>
          <w:szCs w:val="24"/>
          <w:lang w:bidi="ar"/>
          <w14:ligatures w14:val="standardContextual"/>
        </w:rPr>
      </w:pPr>
      <w:r w:rsidRPr="009F6666">
        <w:rPr>
          <w:rFonts w:ascii="Times New Roman" w:eastAsia="等线" w:hAnsi="Times New Roman" w:cs="Times New Roman"/>
          <w:sz w:val="24"/>
          <w:szCs w:val="24"/>
          <w:lang w:bidi="ar"/>
          <w14:ligatures w14:val="standardContextual"/>
        </w:rPr>
        <w:t xml:space="preserve">According to the prescribing information, eligible patients received a once-daily oral capsule of coblopasvir (60 mg) combined with a tablet of sofosbuvir (400 mg) </w:t>
      </w:r>
      <w:r w:rsidRPr="009F6666">
        <w:rPr>
          <w:rFonts w:ascii="Times New Roman" w:eastAsia="等线" w:hAnsi="Times New Roman" w:cs="Times New Roman"/>
          <w:sz w:val="24"/>
          <w:szCs w:val="24"/>
          <w:lang w:bidi="ar"/>
          <w14:ligatures w14:val="standardContextual"/>
        </w:rPr>
        <w:lastRenderedPageBreak/>
        <w:t>(Beijing Kawin Technology Share-Holding Co. Ltd., Beijing, China) for 12 weeks. Dose adjustments were not permitted during the treatment period. Based on clinical judgment, some patients received concomitant ribavirin while others did not; considerations included HCV genotype 3, co-infection with HIV and/or HBV, or cirrhosis. Ribavirin was administered orally twice daily with meals, with dose determined according to the prescribing information: 400–1000 mg/day for patients weighing &lt;75 kg, 1200 mg/day for those ≥ 75 kg, and an initial dose of 600 mg/day for patients with Child–Pugh class B or C.</w:t>
      </w:r>
    </w:p>
    <w:p w14:paraId="46077DDC" w14:textId="77777777" w:rsidR="002551B8" w:rsidRPr="009F6666" w:rsidRDefault="002551B8" w:rsidP="002551B8">
      <w:pPr>
        <w:spacing w:line="480" w:lineRule="auto"/>
        <w:ind w:firstLineChars="200" w:firstLine="480"/>
        <w:jc w:val="both"/>
        <w:rPr>
          <w:rFonts w:ascii="Times New Roman" w:eastAsia="等线" w:hAnsi="Times New Roman" w:cs="Times New Roman"/>
          <w:sz w:val="24"/>
          <w:szCs w:val="24"/>
          <w:lang w:bidi="ar"/>
          <w14:ligatures w14:val="standardContextual"/>
        </w:rPr>
      </w:pPr>
      <w:r w:rsidRPr="009F6666">
        <w:rPr>
          <w:rFonts w:ascii="Times New Roman" w:eastAsia="等线" w:hAnsi="Times New Roman" w:cs="Times New Roman"/>
          <w:sz w:val="24"/>
          <w:szCs w:val="24"/>
          <w:lang w:bidi="ar"/>
          <w14:ligatures w14:val="standardContextual"/>
        </w:rPr>
        <w:t xml:space="preserve">All enrolled patients completed baseline, end of treatment, and post-treatment assessments. Demographic and clinical characteristics collected included age, sex, concomitant medications, comorbidities, and co-infections. Blood samples were collected for hematological and biochemical tests, HCV antibody, HCV RNA, HCV genotyping, HIV antibody, and hepatitis B surface antigen testing. Liver imaging (FibroScan /ultrasound /CT /MRI) was performed at baseline. Treatment assessments were completed at week 12 (±3 days), and post-treatment assessments were performed 12 weeks (±3 days) after the last dose of coblopasvir plus sofosbuvir. Both treatment and post-treatment assessments included physical examination and adverse event (AE) recording. Blood samples for hematology, biochemistry, and HCV RNA testing were collected at treatment week 12 and 12 weeks post-treatment. </w:t>
      </w:r>
      <w:bookmarkStart w:id="2" w:name="OLE_LINK3"/>
      <w:r w:rsidRPr="009F6666">
        <w:rPr>
          <w:rFonts w:ascii="Times New Roman" w:eastAsia="等线" w:hAnsi="Times New Roman" w:cs="Times New Roman"/>
          <w:sz w:val="24"/>
          <w:szCs w:val="24"/>
          <w:lang w:bidi="ar"/>
          <w14:ligatures w14:val="standardContextual"/>
        </w:rPr>
        <w:t xml:space="preserve">Virological relapse was assessed at all visits and defined as undetectable HCV RNA during or at the end of treatment but with failure to maintain HCV RNA </w:t>
      </w:r>
      <w:bookmarkEnd w:id="2"/>
      <w:r w:rsidRPr="009F6666">
        <w:rPr>
          <w:rFonts w:ascii="Times New Roman" w:eastAsia="等线" w:hAnsi="Times New Roman" w:cs="Times New Roman"/>
          <w:sz w:val="24"/>
          <w:szCs w:val="24"/>
          <w:lang w:bidi="ar"/>
          <w14:ligatures w14:val="standardContextual"/>
        </w:rPr>
        <w:t>&lt; 15 IU/mL at 12 weeks post-treatment.</w:t>
      </w:r>
    </w:p>
    <w:p w14:paraId="28744075" w14:textId="664FC2D1" w:rsidR="002551B8" w:rsidRPr="009F6666" w:rsidRDefault="002551B8" w:rsidP="002551B8">
      <w:pPr>
        <w:spacing w:line="480" w:lineRule="auto"/>
        <w:ind w:firstLineChars="200" w:firstLine="480"/>
        <w:jc w:val="both"/>
        <w:rPr>
          <w:rFonts w:ascii="Times New Roman" w:eastAsia="等线" w:hAnsi="Times New Roman" w:cs="Times New Roman"/>
          <w:sz w:val="24"/>
          <w:szCs w:val="24"/>
          <w:lang w:bidi="ar"/>
          <w14:ligatures w14:val="standardContextual"/>
        </w:rPr>
      </w:pPr>
      <w:r w:rsidRPr="009F6666">
        <w:rPr>
          <w:rFonts w:ascii="Times New Roman" w:eastAsia="等线" w:hAnsi="Times New Roman" w:cs="Times New Roman"/>
          <w:sz w:val="24"/>
          <w:szCs w:val="24"/>
          <w:lang w:bidi="ar"/>
          <w14:ligatures w14:val="standardContextual"/>
        </w:rPr>
        <w:lastRenderedPageBreak/>
        <w:t>Hematological tests included Hb, PLT, red blood cell count (RBC), and WBC. Biochemical tests included ALT, AST, Gamma-Glutamyl Transpeptidase (GGT), albumin (ALB), alkaline phosphatase (ALP), creatine kinase, creatinine, total bilirubin (TBIL) (including direct and indirect bilirubin), glucose, and electrolytes. Serum HCV RNA was quantified using the COBAS® TaqMan HCV assay with a lower limit of quantification of 15 IU/</w:t>
      </w:r>
      <w:proofErr w:type="spellStart"/>
      <w:r w:rsidRPr="009F6666">
        <w:rPr>
          <w:rFonts w:ascii="Times New Roman" w:eastAsia="等线" w:hAnsi="Times New Roman" w:cs="Times New Roman"/>
          <w:sz w:val="24"/>
          <w:szCs w:val="24"/>
          <w:lang w:bidi="ar"/>
          <w14:ligatures w14:val="standardContextual"/>
        </w:rPr>
        <w:t>mL.</w:t>
      </w:r>
      <w:proofErr w:type="spellEnd"/>
      <w:r w:rsidRPr="009F6666">
        <w:rPr>
          <w:rFonts w:ascii="Times New Roman" w:eastAsia="等线" w:hAnsi="Times New Roman" w:cs="Times New Roman"/>
          <w:sz w:val="24"/>
          <w:szCs w:val="24"/>
          <w:lang w:bidi="ar"/>
          <w14:ligatures w14:val="standardContextual"/>
        </w:rPr>
        <w:t xml:space="preserve"> HCV genotype/subtype was determined by Sanger sequencing. Liver function was assessed using the albumin–bilirubin (ALBI) score calculated as follows: log10 bilirubin [</w:t>
      </w:r>
      <w:proofErr w:type="spellStart"/>
      <w:r w:rsidRPr="009F6666">
        <w:rPr>
          <w:rFonts w:ascii="Times New Roman" w:eastAsia="等线" w:hAnsi="Times New Roman" w:cs="Times New Roman"/>
          <w:sz w:val="24"/>
          <w:szCs w:val="24"/>
          <w:lang w:bidi="ar"/>
          <w14:ligatures w14:val="standardContextual"/>
        </w:rPr>
        <w:t>μmol</w:t>
      </w:r>
      <w:proofErr w:type="spellEnd"/>
      <w:r w:rsidRPr="009F6666">
        <w:rPr>
          <w:rFonts w:ascii="Times New Roman" w:eastAsia="等线" w:hAnsi="Times New Roman" w:cs="Times New Roman"/>
          <w:sz w:val="24"/>
          <w:szCs w:val="24"/>
          <w:lang w:bidi="ar"/>
          <w14:ligatures w14:val="standardContextual"/>
        </w:rPr>
        <w:t>/L] × 0.66 – (albumin [g/L] × 0.0852).</w:t>
      </w:r>
      <w:r w:rsidRPr="009F6666">
        <w:rPr>
          <w:rFonts w:ascii="Times New Roman" w:eastAsia="等线" w:hAnsi="Times New Roman" w:cs="Times New Roman"/>
          <w:sz w:val="24"/>
          <w:szCs w:val="24"/>
          <w:lang w:bidi="ar"/>
          <w14:ligatures w14:val="standardContextual"/>
        </w:rPr>
        <w:fldChar w:fldCharType="begin"/>
      </w:r>
      <w:r w:rsidRPr="009F6666">
        <w:rPr>
          <w:rFonts w:ascii="Times New Roman" w:eastAsia="等线" w:hAnsi="Times New Roman" w:cs="Times New Roman"/>
          <w:sz w:val="24"/>
          <w:szCs w:val="24"/>
          <w:lang w:bidi="ar"/>
          <w14:ligatures w14:val="standardContextual"/>
        </w:rPr>
        <w:instrText xml:space="preserve"> ADDIN EN.CITE &lt;EndNote&gt;&lt;Cite&gt;&lt;Author&gt;Toyoda&lt;/Author&gt;&lt;Year&gt;2022&lt;/Year&gt;&lt;RecNum&gt;69&lt;/RecNum&gt;&lt;DisplayText&gt;&lt;style face="superscript"&gt;17&lt;/style&gt;&lt;/DisplayText&gt;&lt;record&gt;&lt;rec-number&gt;69&lt;/rec-number&gt;&lt;foreign-keys&gt;&lt;key app="EN" db-id="rffewtprs2zt91eespxx9tdja05w2vf2zfvf" timestamp="1765246866"&gt;69&lt;/key&gt;&lt;/foreign-keys&gt;&lt;ref-type name="Journal Article"&gt;17&lt;/ref-type&gt;&lt;contributors&gt;&lt;authors&gt;&lt;author&gt;Toyoda, H.&lt;/author&gt;&lt;author&gt;Johnson, P. J.&lt;/author&gt;&lt;/authors&gt;&lt;/contributors&gt;&lt;auth-address&gt;Department of Gastroenterology, Ogaki Municipal Hospital, Ogaki, Japan.&amp;#xD;Department of Molecular and Clinical Cancer Medicine, University of Liverpool, Liverpool, UK.&lt;/auth-address&gt;&lt;titles&gt;&lt;title&gt;The ALBI score: From liver function in patients with HCC to a general measure of liver function&lt;/title&gt;&lt;secondary-title&gt;JHEP Rep&lt;/secondary-title&gt;&lt;/titles&gt;&lt;periodical&gt;&lt;full-title&gt;JHEP Rep&lt;/full-title&gt;&lt;/periodical&gt;&lt;pages&gt;100557&lt;/pages&gt;&lt;volume&gt;4&lt;/volume&gt;&lt;number&gt;10&lt;/number&gt;&lt;edition&gt;20220818&lt;/edition&gt;&lt;keywords&gt;&lt;keyword&gt;ALBI, albumin-bilirubin&lt;/keyword&gt;&lt;keyword&gt;APRI, aspartate aminotransferase-to-platelet ratio index&lt;/keyword&gt;&lt;keyword&gt;HCC, hepatocellular carcinoma&lt;/keyword&gt;&lt;keyword&gt;MELD, model for end-stage liver disease&lt;/keyword&gt;&lt;keyword&gt;hepatocellular carcinoma&lt;/keyword&gt;&lt;keyword&gt;liver fibrosis&lt;/keyword&gt;&lt;keyword&gt;liver function&lt;/keyword&gt;&lt;keyword&gt;liver-related diseases&lt;/keyword&gt;&lt;keyword&gt;non-liver-related diseases&lt;/keyword&gt;&lt;keyword&gt;prognosis&lt;/keyword&gt;&lt;/keywords&gt;&lt;dates&gt;&lt;year&gt;2022&lt;/year&gt;&lt;pub-dates&gt;&lt;date&gt;Oct&lt;/date&gt;&lt;/pub-dates&gt;&lt;/dates&gt;&lt;isbn&gt;2589-5559&lt;/isbn&gt;&lt;accession-num&gt;36124124&lt;/accession-num&gt;&lt;urls&gt;&lt;/urls&gt;&lt;custom1&gt;The authors declare that there is no conflict of interest on this review. Please refer to the accompanying ICMJE disclosure forms for further details.&lt;/custom1&gt;&lt;custom2&gt;PMC9482109&lt;/custom2&gt;&lt;electronic-resource-num&gt;10.1016/j.jhepr.2022.100557&lt;/electronic-resource-num&gt;&lt;remote-database-provider&gt;NLM&lt;/remote-database-provider&gt;&lt;language&gt;eng&lt;/language&gt;&lt;/record&gt;&lt;/Cite&gt;&lt;/EndNote&gt;</w:instrText>
      </w:r>
      <w:r w:rsidRPr="009F6666">
        <w:rPr>
          <w:rFonts w:ascii="Times New Roman" w:eastAsia="等线" w:hAnsi="Times New Roman" w:cs="Times New Roman"/>
          <w:sz w:val="24"/>
          <w:szCs w:val="24"/>
          <w:lang w:bidi="ar"/>
          <w14:ligatures w14:val="standardContextual"/>
        </w:rPr>
        <w:fldChar w:fldCharType="separate"/>
      </w:r>
      <w:r w:rsidRPr="009F6666">
        <w:rPr>
          <w:rFonts w:ascii="Times New Roman" w:eastAsia="等线" w:hAnsi="Times New Roman" w:cs="Times New Roman"/>
          <w:noProof/>
          <w:sz w:val="24"/>
          <w:szCs w:val="24"/>
          <w:vertAlign w:val="superscript"/>
          <w:lang w:bidi="ar"/>
          <w14:ligatures w14:val="standardContextual"/>
        </w:rPr>
        <w:t>1</w:t>
      </w:r>
      <w:r w:rsidRPr="009F6666">
        <w:rPr>
          <w:rFonts w:ascii="Times New Roman" w:eastAsia="等线" w:hAnsi="Times New Roman" w:cs="Times New Roman"/>
          <w:sz w:val="24"/>
          <w:szCs w:val="24"/>
          <w:lang w:bidi="ar"/>
          <w14:ligatures w14:val="standardContextual"/>
        </w:rPr>
        <w:fldChar w:fldCharType="end"/>
      </w:r>
      <w:r w:rsidRPr="009F6666">
        <w:rPr>
          <w:rFonts w:ascii="Times New Roman" w:eastAsia="等线" w:hAnsi="Times New Roman" w:cs="Times New Roman"/>
          <w:sz w:val="24"/>
          <w:szCs w:val="24"/>
          <w:vertAlign w:val="superscript"/>
          <w:lang w:bidi="ar"/>
          <w14:ligatures w14:val="standardContextual"/>
        </w:rPr>
        <w:t>,</w:t>
      </w:r>
      <w:r w:rsidRPr="009F6666">
        <w:rPr>
          <w:rFonts w:ascii="Times New Roman" w:eastAsia="等线" w:hAnsi="Times New Roman" w:cs="Times New Roman"/>
          <w:sz w:val="24"/>
          <w:szCs w:val="24"/>
          <w:vertAlign w:val="superscript"/>
          <w:lang w:eastAsia="zh-CN" w:bidi="ar"/>
          <w14:ligatures w14:val="standardContextual"/>
        </w:rPr>
        <w:t>2</w:t>
      </w:r>
      <w:r w:rsidRPr="009F6666">
        <w:rPr>
          <w:rFonts w:ascii="Times New Roman" w:eastAsia="等线" w:hAnsi="Times New Roman" w:cs="Times New Roman"/>
          <w:sz w:val="24"/>
          <w:szCs w:val="24"/>
          <w:lang w:bidi="ar"/>
          <w14:ligatures w14:val="standardContextual"/>
        </w:rPr>
        <w:fldChar w:fldCharType="begin">
          <w:fldData xml:space="preserve">PEVuZE5vdGU+PENpdGU+PEF1dGhvcj5HdWk8L0F1dGhvcj48WWVhcj4yMDE4PC9ZZWFyPjxSZWNO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</w:fldData>
        </w:fldChar>
      </w:r>
      <w:r w:rsidRPr="009F6666">
        <w:rPr>
          <w:rFonts w:ascii="Times New Roman" w:eastAsia="等线" w:hAnsi="Times New Roman" w:cs="Times New Roman"/>
          <w:sz w:val="24"/>
          <w:szCs w:val="24"/>
          <w:lang w:bidi="ar"/>
          <w14:ligatures w14:val="standardContextual"/>
        </w:rPr>
        <w:instrText xml:space="preserve"> ADDIN EN.CITE </w:instrText>
      </w:r>
      <w:r w:rsidRPr="009F6666">
        <w:rPr>
          <w:rFonts w:ascii="Times New Roman" w:eastAsia="等线" w:hAnsi="Times New Roman" w:cs="Times New Roman"/>
          <w:sz w:val="24"/>
          <w:szCs w:val="24"/>
          <w:lang w:bidi="ar"/>
          <w14:ligatures w14:val="standardContextual"/>
        </w:rPr>
        <w:fldChar w:fldCharType="begin">
          <w:fldData xml:space="preserve">PEVuZE5vdGU+PENpdGU+PEF1dGhvcj5HdWk8L0F1dGhvcj48WWVhcj4yMDE4PC9ZZWFyPjxSZWNO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</w:fldData>
        </w:fldChar>
      </w:r>
      <w:r w:rsidRPr="009F6666">
        <w:rPr>
          <w:rFonts w:ascii="Times New Roman" w:eastAsia="等线" w:hAnsi="Times New Roman" w:cs="Times New Roman"/>
          <w:sz w:val="24"/>
          <w:szCs w:val="24"/>
          <w:lang w:bidi="ar"/>
          <w14:ligatures w14:val="standardContextual"/>
        </w:rPr>
        <w:instrText xml:space="preserve"> ADDIN EN.CITE.DATA </w:instrText>
      </w:r>
      <w:r w:rsidRPr="009F6666">
        <w:rPr>
          <w:rFonts w:ascii="Times New Roman" w:eastAsia="等线" w:hAnsi="Times New Roman" w:cs="Times New Roman"/>
          <w:sz w:val="24"/>
          <w:szCs w:val="24"/>
          <w:lang w:bidi="ar"/>
          <w14:ligatures w14:val="standardContextual"/>
        </w:rPr>
      </w:r>
      <w:r w:rsidRPr="009F6666">
        <w:rPr>
          <w:rFonts w:ascii="Times New Roman" w:eastAsia="等线" w:hAnsi="Times New Roman" w:cs="Times New Roman"/>
          <w:sz w:val="24"/>
          <w:szCs w:val="24"/>
          <w:lang w:bidi="ar"/>
          <w14:ligatures w14:val="standardContextual"/>
        </w:rPr>
        <w:fldChar w:fldCharType="end"/>
      </w:r>
      <w:r w:rsidRPr="009F6666">
        <w:rPr>
          <w:rFonts w:ascii="Times New Roman" w:eastAsia="等线" w:hAnsi="Times New Roman" w:cs="Times New Roman"/>
          <w:sz w:val="24"/>
          <w:szCs w:val="24"/>
          <w:lang w:bidi="ar"/>
          <w14:ligatures w14:val="standardContextual"/>
        </w:rPr>
      </w:r>
      <w:r w:rsidRPr="009F6666">
        <w:rPr>
          <w:rFonts w:ascii="Times New Roman" w:eastAsia="等线" w:hAnsi="Times New Roman" w:cs="Times New Roman"/>
          <w:sz w:val="24"/>
          <w:szCs w:val="24"/>
          <w:lang w:bidi="ar"/>
          <w14:ligatures w14:val="standardContextual"/>
        </w:rPr>
        <w:fldChar w:fldCharType="separate"/>
      </w:r>
      <w:r w:rsidRPr="009F6666">
        <w:rPr>
          <w:rFonts w:ascii="Times New Roman" w:eastAsia="等线" w:hAnsi="Times New Roman" w:cs="Times New Roman"/>
          <w:sz w:val="24"/>
          <w:szCs w:val="24"/>
          <w:lang w:bidi="ar"/>
          <w14:ligatures w14:val="standardContextual"/>
        </w:rPr>
        <w:fldChar w:fldCharType="end"/>
      </w:r>
      <w:r w:rsidRPr="009F6666">
        <w:rPr>
          <w:rFonts w:ascii="Times New Roman" w:eastAsia="等线" w:hAnsi="Times New Roman" w:cs="Times New Roman"/>
          <w:sz w:val="24"/>
          <w:szCs w:val="24"/>
          <w:lang w:bidi="ar"/>
          <w14:ligatures w14:val="standardContextual"/>
        </w:rPr>
        <w:t xml:space="preserve"> The noninvasive liver fibrosis scoring indices Fibrosis-4 index (FIB-4) and the AST-to-platelet ratio index (APRI) were calculated as follows: FIB-4 = [age (years) × AST (U/L)] / [PLT (10⁹/L) × √ALT (U/L)], APRI = (AST/ULN)/ PLT (10⁹/L) × 100, where ULN is the upper limit of normal AST measures.</w:t>
      </w:r>
      <w:r w:rsidRPr="009F6666">
        <w:rPr>
          <w:rFonts w:ascii="Times New Roman" w:eastAsia="等线" w:hAnsi="Times New Roman" w:cs="Times New Roman"/>
          <w:sz w:val="24"/>
          <w:szCs w:val="24"/>
          <w:lang w:bidi="ar"/>
          <w14:ligatures w14:val="standardContextual"/>
        </w:rPr>
        <w:fldChar w:fldCharType="begin">
          <w:fldData xml:space="preserve">PEVuZE5vdGU+PENpdGU+PEF1dGhvcj5CbGFuY28tR3JhdTwvQXV0aG9yPjxZZWFyPjIwMjE8L1ll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</w:fldData>
        </w:fldChar>
      </w:r>
      <w:r w:rsidRPr="009F6666">
        <w:rPr>
          <w:rFonts w:ascii="Times New Roman" w:eastAsia="等线" w:hAnsi="Times New Roman" w:cs="Times New Roman"/>
          <w:sz w:val="24"/>
          <w:szCs w:val="24"/>
          <w:lang w:bidi="ar"/>
          <w14:ligatures w14:val="standardContextual"/>
        </w:rPr>
        <w:instrText xml:space="preserve"> ADDIN EN.CITE </w:instrText>
      </w:r>
      <w:r w:rsidRPr="009F6666">
        <w:rPr>
          <w:rFonts w:ascii="Times New Roman" w:eastAsia="等线" w:hAnsi="Times New Roman" w:cs="Times New Roman"/>
          <w:sz w:val="24"/>
          <w:szCs w:val="24"/>
          <w:lang w:bidi="ar"/>
          <w14:ligatures w14:val="standardContextual"/>
        </w:rPr>
        <w:fldChar w:fldCharType="begin">
          <w:fldData xml:space="preserve">PEVuZE5vdGU+PENpdGU+PEF1dGhvcj5CbGFuY28tR3JhdTwvQXV0aG9yPjxZZWFyPjIwMjE8L1ll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</w:fldData>
        </w:fldChar>
      </w:r>
      <w:r w:rsidRPr="009F6666">
        <w:rPr>
          <w:rFonts w:ascii="Times New Roman" w:eastAsia="等线" w:hAnsi="Times New Roman" w:cs="Times New Roman"/>
          <w:sz w:val="24"/>
          <w:szCs w:val="24"/>
          <w:lang w:bidi="ar"/>
          <w14:ligatures w14:val="standardContextual"/>
        </w:rPr>
        <w:instrText xml:space="preserve"> ADDIN EN.CITE.DATA </w:instrText>
      </w:r>
      <w:r w:rsidRPr="009F6666">
        <w:rPr>
          <w:rFonts w:ascii="Times New Roman" w:eastAsia="等线" w:hAnsi="Times New Roman" w:cs="Times New Roman"/>
          <w:sz w:val="24"/>
          <w:szCs w:val="24"/>
          <w:lang w:bidi="ar"/>
          <w14:ligatures w14:val="standardContextual"/>
        </w:rPr>
      </w:r>
      <w:r w:rsidRPr="009F6666">
        <w:rPr>
          <w:rFonts w:ascii="Times New Roman" w:eastAsia="等线" w:hAnsi="Times New Roman" w:cs="Times New Roman"/>
          <w:sz w:val="24"/>
          <w:szCs w:val="24"/>
          <w:lang w:bidi="ar"/>
          <w14:ligatures w14:val="standardContextual"/>
        </w:rPr>
        <w:fldChar w:fldCharType="end"/>
      </w:r>
      <w:r w:rsidRPr="009F6666">
        <w:rPr>
          <w:rFonts w:ascii="Times New Roman" w:eastAsia="等线" w:hAnsi="Times New Roman" w:cs="Times New Roman"/>
          <w:sz w:val="24"/>
          <w:szCs w:val="24"/>
          <w:lang w:bidi="ar"/>
          <w14:ligatures w14:val="standardContextual"/>
        </w:rPr>
      </w:r>
      <w:r w:rsidRPr="009F6666">
        <w:rPr>
          <w:rFonts w:ascii="Times New Roman" w:eastAsia="等线" w:hAnsi="Times New Roman" w:cs="Times New Roman"/>
          <w:sz w:val="24"/>
          <w:szCs w:val="24"/>
          <w:lang w:bidi="ar"/>
          <w14:ligatures w14:val="standardContextual"/>
        </w:rPr>
        <w:fldChar w:fldCharType="separate"/>
      </w:r>
      <w:r w:rsidRPr="009F6666">
        <w:rPr>
          <w:rFonts w:ascii="Times New Roman" w:eastAsia="等线" w:hAnsi="Times New Roman" w:cs="Times New Roman"/>
          <w:noProof/>
          <w:sz w:val="24"/>
          <w:szCs w:val="24"/>
          <w:vertAlign w:val="superscript"/>
          <w:lang w:eastAsia="zh-CN" w:bidi="ar"/>
          <w14:ligatures w14:val="standardContextual"/>
        </w:rPr>
        <w:t>3</w:t>
      </w:r>
      <w:r w:rsidRPr="009F6666">
        <w:rPr>
          <w:rFonts w:ascii="Times New Roman" w:eastAsia="等线" w:hAnsi="Times New Roman" w:cs="Times New Roman"/>
          <w:noProof/>
          <w:sz w:val="24"/>
          <w:szCs w:val="24"/>
          <w:vertAlign w:val="superscript"/>
          <w:lang w:bidi="ar"/>
          <w14:ligatures w14:val="standardContextual"/>
        </w:rPr>
        <w:t>,</w:t>
      </w:r>
      <w:r w:rsidRPr="009F6666">
        <w:rPr>
          <w:rFonts w:ascii="Times New Roman" w:eastAsia="等线" w:hAnsi="Times New Roman" w:cs="Times New Roman"/>
          <w:noProof/>
          <w:sz w:val="24"/>
          <w:szCs w:val="24"/>
          <w:vertAlign w:val="superscript"/>
          <w:lang w:eastAsia="zh-CN" w:bidi="ar"/>
          <w14:ligatures w14:val="standardContextual"/>
        </w:rPr>
        <w:t>4</w:t>
      </w:r>
      <w:r w:rsidRPr="009F6666">
        <w:rPr>
          <w:rFonts w:ascii="Times New Roman" w:eastAsia="等线" w:hAnsi="Times New Roman" w:cs="Times New Roman"/>
          <w:sz w:val="24"/>
          <w:szCs w:val="24"/>
          <w:lang w:bidi="ar"/>
          <w14:ligatures w14:val="standardContextual"/>
        </w:rPr>
        <w:fldChar w:fldCharType="end"/>
      </w:r>
    </w:p>
    <w:p w14:paraId="4BDD16AB" w14:textId="77777777" w:rsidR="002551B8" w:rsidRPr="00B04962" w:rsidRDefault="002551B8" w:rsidP="002551B8">
      <w:pPr>
        <w:pStyle w:val="ds-markdown-paragraph"/>
        <w:widowControl w:val="0"/>
        <w:spacing w:before="0" w:beforeAutospacing="0" w:after="0" w:afterAutospacing="0" w:line="360" w:lineRule="auto"/>
        <w:ind w:firstLineChars="200" w:firstLine="482"/>
        <w:jc w:val="both"/>
        <w:rPr>
          <w:rFonts w:ascii="Times New Roman" w:hAnsi="Times New Roman" w:cs="Times New Roman"/>
          <w:b/>
          <w:bCs/>
        </w:rPr>
      </w:pPr>
      <w:r w:rsidRPr="00B04962">
        <w:rPr>
          <w:rFonts w:ascii="Times New Roman" w:hAnsi="Times New Roman" w:cs="Times New Roman"/>
          <w:b/>
          <w:bCs/>
        </w:rPr>
        <w:t>Assessment of outcomes</w:t>
      </w:r>
    </w:p>
    <w:p w14:paraId="7BBB88D1" w14:textId="77777777" w:rsidR="002551B8" w:rsidRPr="009F6666" w:rsidRDefault="002551B8" w:rsidP="002551B8">
      <w:pPr>
        <w:spacing w:line="480" w:lineRule="auto"/>
        <w:ind w:firstLineChars="200" w:firstLine="480"/>
        <w:jc w:val="both"/>
        <w:rPr>
          <w:rFonts w:ascii="Times New Roman" w:eastAsia="等线" w:hAnsi="Times New Roman" w:cs="Times New Roman"/>
          <w:sz w:val="24"/>
          <w:szCs w:val="24"/>
          <w:lang w:bidi="ar"/>
          <w14:ligatures w14:val="standardContextual"/>
        </w:rPr>
      </w:pPr>
      <w:r w:rsidRPr="009F6666">
        <w:rPr>
          <w:rFonts w:ascii="Times New Roman" w:eastAsia="等线" w:hAnsi="Times New Roman" w:cs="Times New Roman"/>
          <w:sz w:val="24"/>
          <w:szCs w:val="24"/>
          <w:lang w:bidi="ar"/>
          <w14:ligatures w14:val="standardContextual"/>
        </w:rPr>
        <w:t xml:space="preserve">The primary effectiveness endpoint was sustained virological response (SVR), defined as the proportion of patients who received at least one dose of coblopasvir plus sofosbuvir with HCV RNA &lt; 15 IU/mL at 12 weeks after treatment completion. Secondary effectiveness endpoints included changes in FIB-4 and APRI scores at week 12 of treatment and 12 weeks post-treatment compared to baseline. Treatment adherence was assessed by pill count. Safety endpoints included the incidence of AEs of grade 3–5 and the proportion of patients who discontinued or interrupted treatment due to AEs among those receiving at least one dose of coblopasvir plus sofosbuvir. AE </w:t>
      </w:r>
      <w:r w:rsidRPr="009F6666">
        <w:rPr>
          <w:rFonts w:ascii="Times New Roman" w:eastAsia="等线" w:hAnsi="Times New Roman" w:cs="Times New Roman"/>
          <w:sz w:val="24"/>
          <w:szCs w:val="24"/>
          <w:lang w:bidi="ar"/>
          <w14:ligatures w14:val="standardContextual"/>
        </w:rPr>
        <w:lastRenderedPageBreak/>
        <w:t>severity grading (grades 3–5) was determined according to the Common Terminology Criteria for Adverse Events (CTCAE) v5.0.</w:t>
      </w:r>
    </w:p>
    <w:p w14:paraId="1E036C80" w14:textId="77777777" w:rsidR="002551B8" w:rsidRPr="009F6666" w:rsidRDefault="002551B8" w:rsidP="002551B8">
      <w:pPr>
        <w:pStyle w:val="ds-markdown-paragraph"/>
        <w:widowControl w:val="0"/>
        <w:spacing w:before="0" w:beforeAutospacing="0" w:after="0" w:afterAutospacing="0" w:line="360" w:lineRule="auto"/>
        <w:ind w:firstLineChars="200" w:firstLine="482"/>
        <w:jc w:val="both"/>
        <w:rPr>
          <w:rFonts w:ascii="Times New Roman" w:hAnsi="Times New Roman" w:cs="Times New Roman"/>
          <w:b/>
          <w:bCs/>
        </w:rPr>
      </w:pPr>
      <w:r w:rsidRPr="009F6666">
        <w:rPr>
          <w:rFonts w:ascii="Times New Roman" w:hAnsi="Times New Roman" w:cs="Times New Roman"/>
          <w:b/>
          <w:bCs/>
        </w:rPr>
        <w:t>Statistical analysis</w:t>
      </w:r>
    </w:p>
    <w:p w14:paraId="046620E7" w14:textId="21455965" w:rsidR="002551B8" w:rsidRPr="009F6666" w:rsidRDefault="002551B8" w:rsidP="002551B8">
      <w:pPr>
        <w:spacing w:line="480" w:lineRule="auto"/>
        <w:ind w:firstLineChars="200" w:firstLine="480"/>
        <w:jc w:val="both"/>
        <w:rPr>
          <w:rFonts w:ascii="Times New Roman" w:hAnsi="Times New Roman" w:cs="Times New Roman"/>
          <w:color w:val="000000" w:themeColor="text1"/>
          <w:sz w:val="24"/>
          <w:szCs w:val="24"/>
        </w:rPr>
      </w:pPr>
      <w:r w:rsidRPr="009F6666">
        <w:rPr>
          <w:rFonts w:ascii="Times New Roman" w:hAnsi="Times New Roman" w:cs="Times New Roman"/>
          <w:color w:val="000000" w:themeColor="text1"/>
          <w:sz w:val="24"/>
          <w:szCs w:val="24"/>
        </w:rPr>
        <w:t xml:space="preserve">Analyses included baseline demographics, clinical characteristics, and effectiveness and safety outcomes. Virological response was assessed in patients who completed the prescribed treatment course without discontinuation or loss to follow-up for non-treatment-related reasons. Baseline demographic and clinical characteristics were summarized as follows: continuous quantitative variables were described as mean (± standard deviation; </w:t>
      </w:r>
      <w:r w:rsidRPr="009F6666">
        <w:rPr>
          <w:rFonts w:ascii="Times New Roman" w:hAnsi="Times New Roman" w:cs="Times New Roman"/>
          <w:i/>
          <w:iCs/>
          <w:color w:val="000000" w:themeColor="text1"/>
          <w:sz w:val="24"/>
          <w:szCs w:val="24"/>
        </w:rPr>
        <w:t>SD</w:t>
      </w:r>
      <w:r w:rsidRPr="009F6666">
        <w:rPr>
          <w:rFonts w:ascii="Times New Roman" w:hAnsi="Times New Roman" w:cs="Times New Roman"/>
          <w:color w:val="000000" w:themeColor="text1"/>
          <w:sz w:val="24"/>
          <w:szCs w:val="24"/>
        </w:rPr>
        <w:t xml:space="preserve">) or median (interquartile range; </w:t>
      </w:r>
      <w:r w:rsidRPr="009F6666">
        <w:rPr>
          <w:rFonts w:ascii="Times New Roman" w:hAnsi="Times New Roman" w:cs="Times New Roman"/>
          <w:i/>
          <w:iCs/>
          <w:color w:val="000000" w:themeColor="text1"/>
          <w:sz w:val="24"/>
          <w:szCs w:val="24"/>
        </w:rPr>
        <w:t>IQR</w:t>
      </w:r>
      <w:r w:rsidRPr="009F6666">
        <w:rPr>
          <w:rFonts w:ascii="Times New Roman" w:hAnsi="Times New Roman" w:cs="Times New Roman"/>
          <w:color w:val="000000" w:themeColor="text1"/>
          <w:sz w:val="24"/>
          <w:szCs w:val="24"/>
        </w:rPr>
        <w:t xml:space="preserve">) and compared between groups using independent sample </w:t>
      </w:r>
      <w:r w:rsidRPr="009F6666">
        <w:rPr>
          <w:rFonts w:ascii="Times New Roman" w:hAnsi="Times New Roman" w:cs="Times New Roman"/>
          <w:i/>
          <w:iCs/>
          <w:color w:val="000000" w:themeColor="text1"/>
          <w:sz w:val="24"/>
          <w:szCs w:val="24"/>
        </w:rPr>
        <w:t>t</w:t>
      </w:r>
      <w:r w:rsidRPr="009F6666">
        <w:rPr>
          <w:rFonts w:ascii="Times New Roman" w:hAnsi="Times New Roman" w:cs="Times New Roman"/>
          <w:color w:val="000000" w:themeColor="text1"/>
          <w:sz w:val="24"/>
          <w:szCs w:val="24"/>
        </w:rPr>
        <w:t xml:space="preserve"> test or Mann–Whitney </w:t>
      </w:r>
      <w:r w:rsidRPr="009F6666">
        <w:rPr>
          <w:rFonts w:ascii="Times New Roman" w:hAnsi="Times New Roman" w:cs="Times New Roman"/>
          <w:i/>
          <w:iCs/>
          <w:color w:val="000000" w:themeColor="text1"/>
          <w:sz w:val="24"/>
          <w:szCs w:val="24"/>
        </w:rPr>
        <w:t>U</w:t>
      </w:r>
      <w:r w:rsidRPr="009F6666">
        <w:rPr>
          <w:rFonts w:ascii="Times New Roman" w:hAnsi="Times New Roman" w:cs="Times New Roman"/>
          <w:color w:val="000000" w:themeColor="text1"/>
          <w:sz w:val="24"/>
          <w:szCs w:val="24"/>
        </w:rPr>
        <w:t xml:space="preserve"> test. Qualitative /categorical variables were compared using the </w:t>
      </w:r>
      <w:r w:rsidRPr="009F6666">
        <w:rPr>
          <w:rFonts w:ascii="Times New Roman" w:hAnsi="Times New Roman" w:cs="Times New Roman"/>
          <w:color w:val="000000" w:themeColor="text1"/>
          <w:sz w:val="24"/>
          <w:szCs w:val="24"/>
        </w:rPr>
        <w:sym w:font="Symbol" w:char="F063"/>
      </w:r>
      <w:r w:rsidRPr="009F6666">
        <w:rPr>
          <w:rFonts w:ascii="Times New Roman" w:hAnsi="Times New Roman" w:cs="Times New Roman"/>
          <w:color w:val="000000" w:themeColor="text1"/>
          <w:sz w:val="24"/>
          <w:szCs w:val="24"/>
          <w:vertAlign w:val="superscript"/>
        </w:rPr>
        <w:t>2</w:t>
      </w:r>
      <w:r w:rsidRPr="009F6666">
        <w:rPr>
          <w:rFonts w:ascii="Times New Roman" w:hAnsi="Times New Roman" w:cs="Times New Roman"/>
          <w:color w:val="000000" w:themeColor="text1"/>
          <w:sz w:val="24"/>
          <w:szCs w:val="24"/>
        </w:rPr>
        <w:t xml:space="preserve"> test or Fisher’s exact test. Statistical significance was defined as </w:t>
      </w:r>
      <w:r w:rsidRPr="009F6666">
        <w:rPr>
          <w:rFonts w:ascii="Times New Roman" w:eastAsia="等线" w:hAnsi="Times New Roman" w:cs="Times New Roman"/>
          <w:i/>
          <w:iCs/>
          <w:sz w:val="24"/>
          <w:szCs w:val="24"/>
          <w:lang w:bidi="ar"/>
          <w14:ligatures w14:val="standardContextual"/>
        </w:rPr>
        <w:t>p</w:t>
      </w:r>
      <w:r w:rsidRPr="009F6666">
        <w:rPr>
          <w:rFonts w:ascii="Times New Roman" w:hAnsi="Times New Roman" w:cs="Times New Roman"/>
          <w:color w:val="000000" w:themeColor="text1"/>
          <w:sz w:val="24"/>
          <w:szCs w:val="24"/>
        </w:rPr>
        <w:t xml:space="preserve"> &lt; 0.05. All statistical analyses were conducted using SPSS version 20.0 (IBM Corp., Armonk, NY, USA).</w:t>
      </w:r>
    </w:p>
    <w:p w14:paraId="7854597F" w14:textId="77777777" w:rsidR="002551B8" w:rsidRDefault="002551B8" w:rsidP="002551B8">
      <w:pPr>
        <w:spacing w:line="360" w:lineRule="auto"/>
        <w:rPr>
          <w:rFonts w:ascii="Book Antiqua" w:eastAsia="宋体" w:hAnsi="Book Antiqua" w:cs="Times New Roman"/>
          <w:b/>
          <w:sz w:val="24"/>
          <w:szCs w:val="24"/>
        </w:rPr>
      </w:pPr>
    </w:p>
    <w:p w14:paraId="1EF038D1" w14:textId="261E6D50" w:rsidR="002551B8" w:rsidRPr="007C5FCD" w:rsidRDefault="002551B8" w:rsidP="002551B8">
      <w:pPr>
        <w:spacing w:line="360" w:lineRule="auto"/>
        <w:rPr>
          <w:rFonts w:ascii="Times New Roman" w:hAnsi="Times New Roman" w:cs="Times New Roman"/>
          <w:color w:val="000000" w:themeColor="text1"/>
          <w:lang w:eastAsia="zh-CN"/>
        </w:rPr>
      </w:pPr>
      <w:r w:rsidRPr="007C5FCD">
        <w:rPr>
          <w:rFonts w:ascii="Times New Roman" w:eastAsia="宋体" w:hAnsi="Times New Roman" w:cs="Times New Roman"/>
          <w:b/>
          <w:sz w:val="24"/>
          <w:szCs w:val="24"/>
        </w:rPr>
        <w:t>References</w:t>
      </w:r>
    </w:p>
    <w:p w14:paraId="25357167" w14:textId="56FA4942" w:rsidR="002551B8" w:rsidRPr="007C5FCD" w:rsidRDefault="002551B8" w:rsidP="002551B8">
      <w:pPr>
        <w:widowControl w:val="0"/>
        <w:spacing w:after="0" w:line="240" w:lineRule="auto"/>
        <w:ind w:left="720" w:hanging="720"/>
        <w:jc w:val="both"/>
        <w:rPr>
          <w:rFonts w:ascii="Times New Roman" w:eastAsia="等线" w:hAnsi="Times New Roman" w:cs="Times New Roman"/>
          <w:noProof/>
          <w:kern w:val="2"/>
          <w:sz w:val="20"/>
          <w:lang w:eastAsia="zh-CN"/>
        </w:rPr>
      </w:pPr>
      <w:r w:rsidRPr="007C5FCD">
        <w:rPr>
          <w:rFonts w:ascii="Times New Roman" w:eastAsia="等线" w:hAnsi="Times New Roman" w:cs="Times New Roman"/>
          <w:noProof/>
          <w:kern w:val="2"/>
          <w:sz w:val="20"/>
          <w:lang w:eastAsia="zh-CN"/>
        </w:rPr>
        <w:t>[1] Toyoda H, Johnson PJ. The ALBI score: From liver function in patients with HCC to a general measure of liver function. JHEP Rep 2022;4(10):100557. doi: 10.1016/j.jhepr.2022.100557. PMID: 36124124</w:t>
      </w:r>
    </w:p>
    <w:p w14:paraId="0E4C5270" w14:textId="1F1479DA" w:rsidR="002551B8" w:rsidRPr="007C5FCD" w:rsidRDefault="002551B8" w:rsidP="002551B8">
      <w:pPr>
        <w:widowControl w:val="0"/>
        <w:spacing w:after="0" w:line="240" w:lineRule="auto"/>
        <w:ind w:left="720" w:hanging="720"/>
        <w:jc w:val="both"/>
        <w:rPr>
          <w:rFonts w:ascii="Times New Roman" w:eastAsia="等线" w:hAnsi="Times New Roman" w:cs="Times New Roman"/>
          <w:noProof/>
          <w:kern w:val="2"/>
          <w:sz w:val="20"/>
          <w:lang w:eastAsia="zh-CN"/>
        </w:rPr>
      </w:pPr>
      <w:r w:rsidRPr="007C5FCD">
        <w:rPr>
          <w:rFonts w:ascii="Times New Roman" w:eastAsia="等线" w:hAnsi="Times New Roman" w:cs="Times New Roman"/>
          <w:noProof/>
          <w:kern w:val="2"/>
          <w:sz w:val="20"/>
          <w:lang w:eastAsia="zh-CN"/>
        </w:rPr>
        <w:t>[2] Gui B, Weiner AA, Nosher J, Lu SE, Foltz GM, Hasan O</w:t>
      </w:r>
      <w:r w:rsidRPr="007C5FCD">
        <w:rPr>
          <w:rFonts w:ascii="Times New Roman" w:eastAsia="等线" w:hAnsi="Times New Roman" w:cs="Times New Roman"/>
          <w:i/>
          <w:noProof/>
          <w:kern w:val="2"/>
          <w:sz w:val="20"/>
          <w:lang w:eastAsia="zh-CN"/>
        </w:rPr>
        <w:t>, et al.</w:t>
      </w:r>
      <w:r w:rsidRPr="007C5FCD">
        <w:rPr>
          <w:rFonts w:ascii="Times New Roman" w:eastAsia="等线" w:hAnsi="Times New Roman" w:cs="Times New Roman"/>
          <w:noProof/>
          <w:kern w:val="2"/>
          <w:sz w:val="20"/>
          <w:lang w:eastAsia="zh-CN"/>
        </w:rPr>
        <w:t xml:space="preserve"> Assessment of the Albumin-Bilirubin (ALBI) Grade as a Prognostic Indicator for Hepatocellular Carcinoma Patients Treated With Radioembolization. Am J Clin Oncol 2018;41(9):861-866. doi: 10.1097/coc.0000000000000384. PMID: 28418940</w:t>
      </w:r>
    </w:p>
    <w:p w14:paraId="21035A3F" w14:textId="56FCEF54" w:rsidR="002551B8" w:rsidRPr="007C5FCD" w:rsidRDefault="002551B8" w:rsidP="002551B8">
      <w:pPr>
        <w:widowControl w:val="0"/>
        <w:spacing w:after="0" w:line="240" w:lineRule="auto"/>
        <w:ind w:left="720" w:hanging="720"/>
        <w:jc w:val="both"/>
        <w:rPr>
          <w:rFonts w:ascii="Times New Roman" w:eastAsia="等线" w:hAnsi="Times New Roman" w:cs="Times New Roman"/>
          <w:noProof/>
          <w:kern w:val="2"/>
          <w:sz w:val="20"/>
          <w:lang w:eastAsia="zh-CN"/>
        </w:rPr>
      </w:pPr>
      <w:r w:rsidRPr="007C5FCD">
        <w:rPr>
          <w:rFonts w:ascii="Times New Roman" w:eastAsia="等线" w:hAnsi="Times New Roman" w:cs="Times New Roman"/>
          <w:noProof/>
          <w:kern w:val="2"/>
          <w:sz w:val="20"/>
          <w:lang w:eastAsia="zh-CN"/>
        </w:rPr>
        <w:t>[3] Blanco-Grau A, Gabriel-Medina P, Rodriguez-Algarra F, Villena Y, Lopez-Martínez R, Augustín S</w:t>
      </w:r>
      <w:r w:rsidRPr="007C5FCD">
        <w:rPr>
          <w:rFonts w:ascii="Times New Roman" w:eastAsia="等线" w:hAnsi="Times New Roman" w:cs="Times New Roman"/>
          <w:i/>
          <w:noProof/>
          <w:kern w:val="2"/>
          <w:sz w:val="20"/>
          <w:lang w:eastAsia="zh-CN"/>
        </w:rPr>
        <w:t>, et al.</w:t>
      </w:r>
      <w:r w:rsidRPr="007C5FCD">
        <w:rPr>
          <w:rFonts w:ascii="Times New Roman" w:eastAsia="等线" w:hAnsi="Times New Roman" w:cs="Times New Roman"/>
          <w:noProof/>
          <w:kern w:val="2"/>
          <w:sz w:val="20"/>
          <w:lang w:eastAsia="zh-CN"/>
        </w:rPr>
        <w:t xml:space="preserve"> Assessing Liver Fibrosis Using the FIB4 Index in the Community Setting. Diagnostics (Basel) 2021;11(12) doi: 10.3390/diagnostics11122236. PMID: 34943471</w:t>
      </w:r>
    </w:p>
    <w:p w14:paraId="7C832D30" w14:textId="4221435C" w:rsidR="002551B8" w:rsidRPr="007C5FCD" w:rsidRDefault="002551B8" w:rsidP="007C5FCD">
      <w:pPr>
        <w:widowControl w:val="0"/>
        <w:spacing w:after="0" w:line="240" w:lineRule="auto"/>
        <w:ind w:left="720" w:hanging="720"/>
        <w:jc w:val="both"/>
        <w:rPr>
          <w:rFonts w:ascii="Times New Roman" w:hAnsi="Times New Roman" w:cs="Times New Roman"/>
          <w:color w:val="000000" w:themeColor="text1"/>
        </w:rPr>
      </w:pPr>
      <w:r w:rsidRPr="007C5FCD">
        <w:rPr>
          <w:rFonts w:ascii="Times New Roman" w:eastAsia="等线" w:hAnsi="Times New Roman" w:cs="Times New Roman"/>
          <w:noProof/>
          <w:kern w:val="2"/>
          <w:sz w:val="20"/>
          <w:lang w:eastAsia="zh-CN"/>
        </w:rPr>
        <w:t>[4] Loaeza-del-Castillo A, Paz-Pineda F, Oviedo-Cárdenas E, Sánchez-Avila F, Vargas-Vorácková F. AST to platelet ratio index (APRI) for the noninvasive evaluation of liver fibrosis. Ann Hepatol 2008;7(4):350-357. PMID: 19034235</w:t>
      </w:r>
    </w:p>
    <w:sectPr w:rsidR="002551B8" w:rsidRPr="007C5F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D7CF" w14:textId="77777777" w:rsidR="006D76FA" w:rsidRDefault="006D76FA" w:rsidP="00E66DCF">
      <w:pPr>
        <w:spacing w:after="0" w:line="240" w:lineRule="auto"/>
        <w:rPr>
          <w:rFonts w:hint="eastAsia"/>
        </w:rPr>
      </w:pPr>
      <w:r>
        <w:separator/>
      </w:r>
    </w:p>
  </w:endnote>
  <w:endnote w:type="continuationSeparator" w:id="0">
    <w:p w14:paraId="49D2F58E" w14:textId="77777777" w:rsidR="006D76FA" w:rsidRDefault="006D76FA" w:rsidP="00E66DC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4F0E0" w14:textId="77777777" w:rsidR="006D76FA" w:rsidRDefault="006D76FA" w:rsidP="00E66DCF">
      <w:pPr>
        <w:spacing w:after="0" w:line="240" w:lineRule="auto"/>
        <w:rPr>
          <w:rFonts w:hint="eastAsia"/>
        </w:rPr>
      </w:pPr>
      <w:r>
        <w:separator/>
      </w:r>
    </w:p>
  </w:footnote>
  <w:footnote w:type="continuationSeparator" w:id="0">
    <w:p w14:paraId="783A7569" w14:textId="77777777" w:rsidR="006D76FA" w:rsidRDefault="006D76FA" w:rsidP="00E66DCF">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8A"/>
    <w:rsid w:val="002551B8"/>
    <w:rsid w:val="002C021E"/>
    <w:rsid w:val="002F6F40"/>
    <w:rsid w:val="003424C5"/>
    <w:rsid w:val="003E28AA"/>
    <w:rsid w:val="00411515"/>
    <w:rsid w:val="004669D0"/>
    <w:rsid w:val="00544D3B"/>
    <w:rsid w:val="00564F8E"/>
    <w:rsid w:val="00600E8E"/>
    <w:rsid w:val="006D76FA"/>
    <w:rsid w:val="007C5FCD"/>
    <w:rsid w:val="00831761"/>
    <w:rsid w:val="009F6666"/>
    <w:rsid w:val="00A43733"/>
    <w:rsid w:val="00AA058A"/>
    <w:rsid w:val="00B04962"/>
    <w:rsid w:val="00C05ADA"/>
    <w:rsid w:val="00CA4689"/>
    <w:rsid w:val="00D70F2B"/>
    <w:rsid w:val="00DF0D56"/>
    <w:rsid w:val="00E66DCF"/>
    <w:rsid w:val="00F12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2B7C0"/>
  <w15:chartTrackingRefBased/>
  <w15:docId w15:val="{6EB790A8-5F92-4E2A-9B4F-AE98F6A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58A"/>
    <w:pPr>
      <w:spacing w:after="200" w:line="276" w:lineRule="auto"/>
    </w:pPr>
    <w:rPr>
      <w:kern w:val="0"/>
      <w:szCs w:val="22"/>
      <w:lang w:eastAsia="en-US"/>
      <w14:ligatures w14:val="none"/>
    </w:rPr>
  </w:style>
  <w:style w:type="paragraph" w:styleId="1">
    <w:name w:val="heading 1"/>
    <w:basedOn w:val="a"/>
    <w:next w:val="a"/>
    <w:link w:val="10"/>
    <w:uiPriority w:val="9"/>
    <w:qFormat/>
    <w:rsid w:val="00AA058A"/>
    <w:pPr>
      <w:keepNext/>
      <w:keepLines/>
      <w:widowControl w:val="0"/>
      <w:spacing w:before="480" w:after="80" w:line="278" w:lineRule="auto"/>
      <w:outlineLvl w:val="0"/>
    </w:pPr>
    <w:rPr>
      <w:rFonts w:asciiTheme="majorHAnsi" w:eastAsiaTheme="majorEastAsia" w:hAnsiTheme="majorHAnsi" w:cstheme="majorBidi"/>
      <w:color w:val="2F5496" w:themeColor="accent1" w:themeShade="BF"/>
      <w:kern w:val="2"/>
      <w:sz w:val="48"/>
      <w:szCs w:val="48"/>
      <w:lang w:eastAsia="zh-CN"/>
      <w14:ligatures w14:val="standardContextual"/>
    </w:rPr>
  </w:style>
  <w:style w:type="paragraph" w:styleId="2">
    <w:name w:val="heading 2"/>
    <w:basedOn w:val="a"/>
    <w:next w:val="a"/>
    <w:link w:val="20"/>
    <w:uiPriority w:val="9"/>
    <w:semiHidden/>
    <w:unhideWhenUsed/>
    <w:qFormat/>
    <w:rsid w:val="00AA058A"/>
    <w:pPr>
      <w:keepNext/>
      <w:keepLines/>
      <w:widowControl w:val="0"/>
      <w:spacing w:before="160" w:after="80" w:line="278" w:lineRule="auto"/>
      <w:outlineLvl w:val="1"/>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3">
    <w:name w:val="heading 3"/>
    <w:basedOn w:val="a"/>
    <w:next w:val="a"/>
    <w:link w:val="30"/>
    <w:uiPriority w:val="9"/>
    <w:semiHidden/>
    <w:unhideWhenUsed/>
    <w:qFormat/>
    <w:rsid w:val="00AA058A"/>
    <w:pPr>
      <w:keepNext/>
      <w:keepLines/>
      <w:widowControl w:val="0"/>
      <w:spacing w:before="160" w:after="80" w:line="278" w:lineRule="auto"/>
      <w:outlineLvl w:val="2"/>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4">
    <w:name w:val="heading 4"/>
    <w:basedOn w:val="a"/>
    <w:next w:val="a"/>
    <w:link w:val="40"/>
    <w:uiPriority w:val="9"/>
    <w:semiHidden/>
    <w:unhideWhenUsed/>
    <w:qFormat/>
    <w:rsid w:val="00AA058A"/>
    <w:pPr>
      <w:keepNext/>
      <w:keepLines/>
      <w:widowControl w:val="0"/>
      <w:spacing w:before="80" w:after="40" w:line="278" w:lineRule="auto"/>
      <w:outlineLvl w:val="3"/>
    </w:pPr>
    <w:rPr>
      <w:rFonts w:cstheme="majorBidi"/>
      <w:color w:val="2F5496" w:themeColor="accent1" w:themeShade="BF"/>
      <w:kern w:val="2"/>
      <w:sz w:val="28"/>
      <w:szCs w:val="28"/>
      <w:lang w:eastAsia="zh-CN"/>
      <w14:ligatures w14:val="standardContextual"/>
    </w:rPr>
  </w:style>
  <w:style w:type="paragraph" w:styleId="5">
    <w:name w:val="heading 5"/>
    <w:basedOn w:val="a"/>
    <w:next w:val="a"/>
    <w:link w:val="50"/>
    <w:uiPriority w:val="9"/>
    <w:semiHidden/>
    <w:unhideWhenUsed/>
    <w:qFormat/>
    <w:rsid w:val="00AA058A"/>
    <w:pPr>
      <w:keepNext/>
      <w:keepLines/>
      <w:widowControl w:val="0"/>
      <w:spacing w:before="80" w:after="40" w:line="278" w:lineRule="auto"/>
      <w:outlineLvl w:val="4"/>
    </w:pPr>
    <w:rPr>
      <w:rFonts w:cstheme="majorBidi"/>
      <w:color w:val="2F5496"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AA058A"/>
    <w:pPr>
      <w:keepNext/>
      <w:keepLines/>
      <w:widowControl w:val="0"/>
      <w:spacing w:before="40" w:after="0" w:line="278" w:lineRule="auto"/>
      <w:outlineLvl w:val="5"/>
    </w:pPr>
    <w:rPr>
      <w:rFonts w:cstheme="majorBidi"/>
      <w:b/>
      <w:bCs/>
      <w:color w:val="2F5496" w:themeColor="accent1" w:themeShade="BF"/>
      <w:kern w:val="2"/>
      <w:szCs w:val="24"/>
      <w:lang w:eastAsia="zh-CN"/>
      <w14:ligatures w14:val="standardContextual"/>
    </w:rPr>
  </w:style>
  <w:style w:type="paragraph" w:styleId="7">
    <w:name w:val="heading 7"/>
    <w:basedOn w:val="a"/>
    <w:next w:val="a"/>
    <w:link w:val="70"/>
    <w:uiPriority w:val="9"/>
    <w:semiHidden/>
    <w:unhideWhenUsed/>
    <w:qFormat/>
    <w:rsid w:val="00AA058A"/>
    <w:pPr>
      <w:keepNext/>
      <w:keepLines/>
      <w:widowControl w:val="0"/>
      <w:spacing w:before="40" w:after="0" w:line="278" w:lineRule="auto"/>
      <w:outlineLvl w:val="6"/>
    </w:pPr>
    <w:rPr>
      <w:rFonts w:cstheme="majorBidi"/>
      <w:b/>
      <w:bCs/>
      <w:color w:val="595959" w:themeColor="text1" w:themeTint="A6"/>
      <w:kern w:val="2"/>
      <w:szCs w:val="24"/>
      <w:lang w:eastAsia="zh-CN"/>
      <w14:ligatures w14:val="standardContextual"/>
    </w:rPr>
  </w:style>
  <w:style w:type="paragraph" w:styleId="8">
    <w:name w:val="heading 8"/>
    <w:basedOn w:val="a"/>
    <w:next w:val="a"/>
    <w:link w:val="80"/>
    <w:uiPriority w:val="9"/>
    <w:semiHidden/>
    <w:unhideWhenUsed/>
    <w:qFormat/>
    <w:rsid w:val="00AA058A"/>
    <w:pPr>
      <w:keepNext/>
      <w:keepLines/>
      <w:widowControl w:val="0"/>
      <w:spacing w:after="0" w:line="278" w:lineRule="auto"/>
      <w:outlineLvl w:val="7"/>
    </w:pPr>
    <w:rPr>
      <w:rFonts w:cstheme="majorBidi"/>
      <w:color w:val="595959" w:themeColor="text1" w:themeTint="A6"/>
      <w:kern w:val="2"/>
      <w:szCs w:val="24"/>
      <w:lang w:eastAsia="zh-CN"/>
      <w14:ligatures w14:val="standardContextual"/>
    </w:rPr>
  </w:style>
  <w:style w:type="paragraph" w:styleId="9">
    <w:name w:val="heading 9"/>
    <w:basedOn w:val="a"/>
    <w:next w:val="a"/>
    <w:link w:val="90"/>
    <w:uiPriority w:val="9"/>
    <w:semiHidden/>
    <w:unhideWhenUsed/>
    <w:qFormat/>
    <w:rsid w:val="00AA058A"/>
    <w:pPr>
      <w:keepNext/>
      <w:keepLines/>
      <w:widowControl w:val="0"/>
      <w:spacing w:after="0" w:line="278" w:lineRule="auto"/>
      <w:outlineLvl w:val="8"/>
    </w:pPr>
    <w:rPr>
      <w:rFonts w:eastAsiaTheme="majorEastAsia" w:cstheme="majorBidi"/>
      <w:color w:val="595959" w:themeColor="text1" w:themeTint="A6"/>
      <w:kern w:val="2"/>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05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05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05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058A"/>
    <w:rPr>
      <w:rFonts w:cstheme="majorBidi"/>
      <w:color w:val="2F5496" w:themeColor="accent1" w:themeShade="BF"/>
      <w:sz w:val="28"/>
      <w:szCs w:val="28"/>
    </w:rPr>
  </w:style>
  <w:style w:type="character" w:customStyle="1" w:styleId="50">
    <w:name w:val="标题 5 字符"/>
    <w:basedOn w:val="a0"/>
    <w:link w:val="5"/>
    <w:uiPriority w:val="9"/>
    <w:semiHidden/>
    <w:rsid w:val="00AA058A"/>
    <w:rPr>
      <w:rFonts w:cstheme="majorBidi"/>
      <w:color w:val="2F5496" w:themeColor="accent1" w:themeShade="BF"/>
      <w:sz w:val="24"/>
    </w:rPr>
  </w:style>
  <w:style w:type="character" w:customStyle="1" w:styleId="60">
    <w:name w:val="标题 6 字符"/>
    <w:basedOn w:val="a0"/>
    <w:link w:val="6"/>
    <w:uiPriority w:val="9"/>
    <w:semiHidden/>
    <w:rsid w:val="00AA058A"/>
    <w:rPr>
      <w:rFonts w:cstheme="majorBidi"/>
      <w:b/>
      <w:bCs/>
      <w:color w:val="2F5496" w:themeColor="accent1" w:themeShade="BF"/>
    </w:rPr>
  </w:style>
  <w:style w:type="character" w:customStyle="1" w:styleId="70">
    <w:name w:val="标题 7 字符"/>
    <w:basedOn w:val="a0"/>
    <w:link w:val="7"/>
    <w:uiPriority w:val="9"/>
    <w:semiHidden/>
    <w:rsid w:val="00AA058A"/>
    <w:rPr>
      <w:rFonts w:cstheme="majorBidi"/>
      <w:b/>
      <w:bCs/>
      <w:color w:val="595959" w:themeColor="text1" w:themeTint="A6"/>
    </w:rPr>
  </w:style>
  <w:style w:type="character" w:customStyle="1" w:styleId="80">
    <w:name w:val="标题 8 字符"/>
    <w:basedOn w:val="a0"/>
    <w:link w:val="8"/>
    <w:uiPriority w:val="9"/>
    <w:semiHidden/>
    <w:rsid w:val="00AA058A"/>
    <w:rPr>
      <w:rFonts w:cstheme="majorBidi"/>
      <w:color w:val="595959" w:themeColor="text1" w:themeTint="A6"/>
    </w:rPr>
  </w:style>
  <w:style w:type="character" w:customStyle="1" w:styleId="90">
    <w:name w:val="标题 9 字符"/>
    <w:basedOn w:val="a0"/>
    <w:link w:val="9"/>
    <w:uiPriority w:val="9"/>
    <w:semiHidden/>
    <w:rsid w:val="00AA058A"/>
    <w:rPr>
      <w:rFonts w:eastAsiaTheme="majorEastAsia" w:cstheme="majorBidi"/>
      <w:color w:val="595959" w:themeColor="text1" w:themeTint="A6"/>
    </w:rPr>
  </w:style>
  <w:style w:type="paragraph" w:styleId="a3">
    <w:name w:val="Title"/>
    <w:basedOn w:val="a"/>
    <w:next w:val="a"/>
    <w:link w:val="a4"/>
    <w:uiPriority w:val="10"/>
    <w:qFormat/>
    <w:rsid w:val="00AA058A"/>
    <w:pPr>
      <w:widowControl w:val="0"/>
      <w:spacing w:after="80" w:line="240" w:lineRule="auto"/>
      <w:contextualSpacing/>
      <w:jc w:val="center"/>
    </w:pPr>
    <w:rPr>
      <w:rFonts w:asciiTheme="majorHAnsi" w:eastAsiaTheme="majorEastAsia" w:hAnsiTheme="majorHAnsi" w:cstheme="majorBidi"/>
      <w:spacing w:val="-10"/>
      <w:kern w:val="28"/>
      <w:sz w:val="56"/>
      <w:szCs w:val="56"/>
      <w:lang w:eastAsia="zh-CN"/>
      <w14:ligatures w14:val="standardContextual"/>
    </w:rPr>
  </w:style>
  <w:style w:type="character" w:customStyle="1" w:styleId="a4">
    <w:name w:val="标题 字符"/>
    <w:basedOn w:val="a0"/>
    <w:link w:val="a3"/>
    <w:uiPriority w:val="10"/>
    <w:rsid w:val="00AA05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058A"/>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lang w:eastAsia="zh-CN"/>
      <w14:ligatures w14:val="standardContextual"/>
    </w:rPr>
  </w:style>
  <w:style w:type="character" w:customStyle="1" w:styleId="a6">
    <w:name w:val="副标题 字符"/>
    <w:basedOn w:val="a0"/>
    <w:link w:val="a5"/>
    <w:uiPriority w:val="11"/>
    <w:rsid w:val="00AA05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058A"/>
    <w:pPr>
      <w:widowControl w:val="0"/>
      <w:spacing w:before="160" w:after="160" w:line="278" w:lineRule="auto"/>
      <w:jc w:val="center"/>
    </w:pPr>
    <w:rPr>
      <w:i/>
      <w:iCs/>
      <w:color w:val="404040" w:themeColor="text1" w:themeTint="BF"/>
      <w:kern w:val="2"/>
      <w:szCs w:val="24"/>
      <w:lang w:eastAsia="zh-CN"/>
      <w14:ligatures w14:val="standardContextual"/>
    </w:rPr>
  </w:style>
  <w:style w:type="character" w:customStyle="1" w:styleId="a8">
    <w:name w:val="引用 字符"/>
    <w:basedOn w:val="a0"/>
    <w:link w:val="a7"/>
    <w:uiPriority w:val="29"/>
    <w:rsid w:val="00AA058A"/>
    <w:rPr>
      <w:i/>
      <w:iCs/>
      <w:color w:val="404040" w:themeColor="text1" w:themeTint="BF"/>
    </w:rPr>
  </w:style>
  <w:style w:type="paragraph" w:styleId="a9">
    <w:name w:val="List Paragraph"/>
    <w:basedOn w:val="a"/>
    <w:uiPriority w:val="34"/>
    <w:qFormat/>
    <w:rsid w:val="00AA058A"/>
    <w:pPr>
      <w:widowControl w:val="0"/>
      <w:spacing w:after="160" w:line="278" w:lineRule="auto"/>
      <w:ind w:left="720"/>
      <w:contextualSpacing/>
    </w:pPr>
    <w:rPr>
      <w:kern w:val="2"/>
      <w:szCs w:val="24"/>
      <w:lang w:eastAsia="zh-CN"/>
      <w14:ligatures w14:val="standardContextual"/>
    </w:rPr>
  </w:style>
  <w:style w:type="character" w:styleId="aa">
    <w:name w:val="Intense Emphasis"/>
    <w:basedOn w:val="a0"/>
    <w:uiPriority w:val="21"/>
    <w:qFormat/>
    <w:rsid w:val="00AA058A"/>
    <w:rPr>
      <w:i/>
      <w:iCs/>
      <w:color w:val="2F5496" w:themeColor="accent1" w:themeShade="BF"/>
    </w:rPr>
  </w:style>
  <w:style w:type="paragraph" w:styleId="ab">
    <w:name w:val="Intense Quote"/>
    <w:basedOn w:val="a"/>
    <w:next w:val="a"/>
    <w:link w:val="ac"/>
    <w:uiPriority w:val="30"/>
    <w:qFormat/>
    <w:rsid w:val="00AA058A"/>
    <w:pPr>
      <w:widowControl w:val="0"/>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Cs w:val="24"/>
      <w:lang w:eastAsia="zh-CN"/>
      <w14:ligatures w14:val="standardContextual"/>
    </w:rPr>
  </w:style>
  <w:style w:type="character" w:customStyle="1" w:styleId="ac">
    <w:name w:val="明显引用 字符"/>
    <w:basedOn w:val="a0"/>
    <w:link w:val="ab"/>
    <w:uiPriority w:val="30"/>
    <w:rsid w:val="00AA058A"/>
    <w:rPr>
      <w:i/>
      <w:iCs/>
      <w:color w:val="2F5496" w:themeColor="accent1" w:themeShade="BF"/>
    </w:rPr>
  </w:style>
  <w:style w:type="character" w:styleId="ad">
    <w:name w:val="Intense Reference"/>
    <w:basedOn w:val="a0"/>
    <w:uiPriority w:val="32"/>
    <w:qFormat/>
    <w:rsid w:val="00AA058A"/>
    <w:rPr>
      <w:b/>
      <w:bCs/>
      <w:smallCaps/>
      <w:color w:val="2F5496" w:themeColor="accent1" w:themeShade="BF"/>
      <w:spacing w:val="5"/>
    </w:rPr>
  </w:style>
  <w:style w:type="paragraph" w:styleId="ae">
    <w:name w:val="header"/>
    <w:basedOn w:val="a"/>
    <w:link w:val="af"/>
    <w:uiPriority w:val="99"/>
    <w:unhideWhenUsed/>
    <w:rsid w:val="00E66DCF"/>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E66DCF"/>
    <w:rPr>
      <w:kern w:val="0"/>
      <w:sz w:val="18"/>
      <w:szCs w:val="18"/>
      <w:lang w:eastAsia="en-US"/>
      <w14:ligatures w14:val="none"/>
    </w:rPr>
  </w:style>
  <w:style w:type="paragraph" w:styleId="af0">
    <w:name w:val="footer"/>
    <w:basedOn w:val="a"/>
    <w:link w:val="af1"/>
    <w:uiPriority w:val="99"/>
    <w:unhideWhenUsed/>
    <w:rsid w:val="00E66DCF"/>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E66DCF"/>
    <w:rPr>
      <w:kern w:val="0"/>
      <w:sz w:val="18"/>
      <w:szCs w:val="18"/>
      <w:lang w:eastAsia="en-US"/>
      <w14:ligatures w14:val="none"/>
    </w:rPr>
  </w:style>
  <w:style w:type="paragraph" w:customStyle="1" w:styleId="ds-markdown-paragraph">
    <w:name w:val="ds-markdown-paragraph"/>
    <w:basedOn w:val="a"/>
    <w:rsid w:val="002551B8"/>
    <w:pPr>
      <w:spacing w:before="100" w:beforeAutospacing="1" w:after="100" w:afterAutospacing="1" w:line="240" w:lineRule="auto"/>
    </w:pPr>
    <w:rPr>
      <w:rFonts w:ascii="宋体" w:eastAsia="宋体" w:hAnsi="宋体" w:cs="宋体"/>
      <w:sz w:val="24"/>
      <w:szCs w:val="24"/>
      <w:lang w:eastAsia="zh-CN"/>
    </w:rPr>
  </w:style>
  <w:style w:type="table" w:styleId="af2">
    <w:name w:val="Table Grid"/>
    <w:basedOn w:val="a1"/>
    <w:uiPriority w:val="39"/>
    <w:qFormat/>
    <w:rsid w:val="003424C5"/>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1578</Words>
  <Characters>8999</Characters>
  <Application>Microsoft Office Word</Application>
  <DocSecurity>0</DocSecurity>
  <Lines>74</Lines>
  <Paragraphs>21</Paragraphs>
  <ScaleCrop>false</ScaleCrop>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c:creator>
  <cp:keywords/>
  <dc:description/>
  <cp:lastModifiedBy>-Y</cp:lastModifiedBy>
  <cp:revision>10</cp:revision>
  <dcterms:created xsi:type="dcterms:W3CDTF">2026-01-21T08:12:00Z</dcterms:created>
  <dcterms:modified xsi:type="dcterms:W3CDTF">2026-02-08T05:25:00Z</dcterms:modified>
</cp:coreProperties>
</file>