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8A" w:rsidRPr="00AF5F8D" w:rsidRDefault="00022E8A" w:rsidP="00022E8A">
      <w:pPr>
        <w:snapToGrid w:val="0"/>
        <w:spacing w:line="480" w:lineRule="auto"/>
        <w:rPr>
          <w:rFonts w:ascii="Times New Roman" w:hAnsi="Times New Roman" w:cs="Times New Roman"/>
          <w:sz w:val="24"/>
          <w:szCs w:val="24"/>
        </w:rPr>
      </w:pPr>
    </w:p>
    <w:p w:rsidR="00022E8A" w:rsidRPr="00AF5F8D" w:rsidRDefault="00022E8A" w:rsidP="00022E8A">
      <w:pPr>
        <w:widowControl/>
        <w:snapToGrid w:val="0"/>
        <w:spacing w:line="480" w:lineRule="auto"/>
        <w:rPr>
          <w:rFonts w:ascii="Times New Roman" w:hAnsi="Times New Roman" w:cs="Times New Roman"/>
          <w:b/>
          <w:bCs/>
          <w:sz w:val="24"/>
          <w:szCs w:val="24"/>
        </w:rPr>
      </w:pPr>
      <w:r w:rsidRPr="00AF5F8D">
        <w:rPr>
          <w:rFonts w:ascii="Times New Roman" w:hAnsi="Times New Roman" w:cs="Times New Roman"/>
          <w:b/>
          <w:bCs/>
          <w:sz w:val="24"/>
          <w:szCs w:val="24"/>
        </w:rPr>
        <w:t xml:space="preserve">Supplementary Table 2. Stepwise diagnostic algorithm to determine advanced fibrosis in NAFLD patients. </w:t>
      </w: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A. MetDis-LSM</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8"/>
      </w:tblGrid>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Metabolic disorders*</w:t>
            </w:r>
          </w:p>
        </w:tc>
        <w:tc>
          <w:tcPr>
            <w:tcW w:w="992" w:type="dxa"/>
            <w:vMerge w:val="restart"/>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None</w:t>
            </w:r>
          </w:p>
        </w:tc>
        <w:tc>
          <w:tcPr>
            <w:tcW w:w="3969" w:type="dxa"/>
            <w:gridSpan w:val="3"/>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RH or FPG</w:t>
            </w:r>
          </w:p>
        </w:tc>
        <w:tc>
          <w:tcPr>
            <w:tcW w:w="1418" w:type="dxa"/>
            <w:vMerge w:val="restart"/>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 xml:space="preserve">RH &amp; FPG </w:t>
            </w:r>
          </w:p>
        </w:tc>
      </w:tr>
      <w:tr w:rsidR="00022E8A" w:rsidRPr="00AF5F8D" w:rsidTr="00DD038A">
        <w:trPr>
          <w:trHeight w:val="274"/>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LSM in kPa</w:t>
            </w:r>
          </w:p>
        </w:tc>
        <w:tc>
          <w:tcPr>
            <w:tcW w:w="992" w:type="dxa"/>
            <w:vMerge/>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&lt;7.9</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7.9-9.6</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&gt;9.6 </w:t>
            </w:r>
          </w:p>
        </w:tc>
        <w:tc>
          <w:tcPr>
            <w:tcW w:w="1418" w:type="dxa"/>
            <w:vMerge/>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63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41</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23</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37</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40</w:t>
            </w: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9</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19</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B. LSM-MetDis</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8"/>
      </w:tblGrid>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LSM in kPa</w:t>
            </w:r>
          </w:p>
        </w:tc>
        <w:tc>
          <w:tcPr>
            <w:tcW w:w="992" w:type="dxa"/>
            <w:vMerge w:val="restart"/>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&lt;7.9</w:t>
            </w:r>
          </w:p>
        </w:tc>
        <w:tc>
          <w:tcPr>
            <w:tcW w:w="3969" w:type="dxa"/>
            <w:gridSpan w:val="3"/>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7.9-9.6</w:t>
            </w:r>
          </w:p>
        </w:tc>
        <w:tc>
          <w:tcPr>
            <w:tcW w:w="1418" w:type="dxa"/>
            <w:vMerge w:val="restart"/>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&gt;9.6</w:t>
            </w:r>
          </w:p>
        </w:tc>
      </w:tr>
      <w:tr w:rsidR="00022E8A" w:rsidRPr="00AF5F8D" w:rsidTr="00DD038A">
        <w:trPr>
          <w:trHeight w:val="274"/>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Metabolic disorders*</w:t>
            </w:r>
          </w:p>
        </w:tc>
        <w:tc>
          <w:tcPr>
            <w:tcW w:w="992" w:type="dxa"/>
            <w:vMerge/>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None</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RH or FPG</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RH &amp; FPG </w:t>
            </w:r>
          </w:p>
        </w:tc>
        <w:tc>
          <w:tcPr>
            <w:tcW w:w="1418" w:type="dxa"/>
            <w:vMerge/>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99</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23</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62</w:t>
            </w: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26</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C. MetDis-NFS</w:t>
      </w: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7"/>
      </w:tblGrid>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Metabolic disorders*</w:t>
            </w:r>
          </w:p>
        </w:tc>
        <w:tc>
          <w:tcPr>
            <w:tcW w:w="992"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None</w:t>
            </w:r>
          </w:p>
        </w:tc>
        <w:tc>
          <w:tcPr>
            <w:tcW w:w="3969" w:type="dxa"/>
            <w:gridSpan w:val="3"/>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RH or FPG</w:t>
            </w:r>
          </w:p>
        </w:tc>
        <w:tc>
          <w:tcPr>
            <w:tcW w:w="1417"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 xml:space="preserve">RH &amp; FPG </w:t>
            </w:r>
          </w:p>
        </w:tc>
      </w:tr>
      <w:tr w:rsidR="00022E8A" w:rsidRPr="00AF5F8D" w:rsidTr="00DD038A">
        <w:trPr>
          <w:trHeight w:val="274"/>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NAFLD fibrosis score</w:t>
            </w:r>
          </w:p>
        </w:tc>
        <w:tc>
          <w:tcPr>
            <w:tcW w:w="992"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&lt;-1.455</w:t>
            </w:r>
          </w:p>
        </w:tc>
        <w:tc>
          <w:tcPr>
            <w:tcW w:w="1418" w:type="dxa"/>
          </w:tcPr>
          <w:p w:rsidR="00022E8A" w:rsidRPr="00AF5F8D" w:rsidRDefault="00022E8A" w:rsidP="00DD038A">
            <w:pPr>
              <w:pStyle w:val="NormalWeb"/>
              <w:snapToGrid w:val="0"/>
              <w:spacing w:before="0" w:beforeAutospacing="0" w:after="0" w:afterAutospacing="0" w:line="480" w:lineRule="auto"/>
              <w:ind w:rightChars="-255" w:right="-535"/>
              <w:jc w:val="both"/>
              <w:rPr>
                <w:rFonts w:ascii="Times New Roman" w:hAnsi="Times New Roman" w:cs="Times New Roman"/>
              </w:rPr>
            </w:pPr>
            <w:r w:rsidRPr="00AF5F8D">
              <w:rPr>
                <w:rFonts w:ascii="Times New Roman" w:hAnsi="Times New Roman" w:cs="Times New Roman"/>
              </w:rPr>
              <w:t>-1.455-0.676</w:t>
            </w:r>
          </w:p>
        </w:tc>
        <w:tc>
          <w:tcPr>
            <w:tcW w:w="1417"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&gt;0.676</w:t>
            </w:r>
          </w:p>
        </w:tc>
        <w:tc>
          <w:tcPr>
            <w:tcW w:w="1417"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63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90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15</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0</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40</w:t>
            </w:r>
          </w:p>
        </w:tc>
      </w:tr>
      <w:tr w:rsidR="00022E8A" w:rsidRPr="00AF5F8D" w:rsidTr="00DD038A">
        <w:trPr>
          <w:trHeight w:val="140"/>
        </w:trPr>
        <w:tc>
          <w:tcPr>
            <w:tcW w:w="2655"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8</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8</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0</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19</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D. NFS-MetDis</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8"/>
      </w:tblGrid>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NAFLD fibrosis score</w:t>
            </w:r>
          </w:p>
        </w:tc>
        <w:tc>
          <w:tcPr>
            <w:tcW w:w="992"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&lt;-1.455</w:t>
            </w:r>
          </w:p>
        </w:tc>
        <w:tc>
          <w:tcPr>
            <w:tcW w:w="3969" w:type="dxa"/>
            <w:gridSpan w:val="3"/>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-1.455-0.676</w:t>
            </w:r>
          </w:p>
        </w:tc>
        <w:tc>
          <w:tcPr>
            <w:tcW w:w="1418"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&gt;0.676</w:t>
            </w:r>
          </w:p>
        </w:tc>
      </w:tr>
      <w:tr w:rsidR="00022E8A" w:rsidRPr="00AF5F8D" w:rsidTr="00DD038A">
        <w:trPr>
          <w:trHeight w:val="274"/>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Metabolic disorders*</w:t>
            </w:r>
          </w:p>
        </w:tc>
        <w:tc>
          <w:tcPr>
            <w:tcW w:w="992"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None</w:t>
            </w:r>
          </w:p>
        </w:tc>
        <w:tc>
          <w:tcPr>
            <w:tcW w:w="1418"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RH or FPG</w:t>
            </w:r>
          </w:p>
        </w:tc>
        <w:tc>
          <w:tcPr>
            <w:tcW w:w="1417"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RH &amp; FPG </w:t>
            </w:r>
          </w:p>
        </w:tc>
        <w:tc>
          <w:tcPr>
            <w:tcW w:w="1418"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lastRenderedPageBreak/>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166</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15</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w:t>
            </w: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18</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8</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E. MetDis-FIB-4</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8"/>
      </w:tblGrid>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Metabolic disorders*</w:t>
            </w:r>
          </w:p>
        </w:tc>
        <w:tc>
          <w:tcPr>
            <w:tcW w:w="992"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None</w:t>
            </w:r>
          </w:p>
        </w:tc>
        <w:tc>
          <w:tcPr>
            <w:tcW w:w="3969" w:type="dxa"/>
            <w:gridSpan w:val="3"/>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RH or FPG</w:t>
            </w:r>
          </w:p>
        </w:tc>
        <w:tc>
          <w:tcPr>
            <w:tcW w:w="1418"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 xml:space="preserve">RH &amp; FPG </w:t>
            </w:r>
          </w:p>
        </w:tc>
      </w:tr>
      <w:tr w:rsidR="00022E8A" w:rsidRPr="00AF5F8D" w:rsidTr="00DD038A">
        <w:trPr>
          <w:trHeight w:val="274"/>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FIB-4</w:t>
            </w:r>
          </w:p>
        </w:tc>
        <w:tc>
          <w:tcPr>
            <w:tcW w:w="992"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&lt;1.30</w:t>
            </w:r>
          </w:p>
        </w:tc>
        <w:tc>
          <w:tcPr>
            <w:tcW w:w="1418"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1.30-3.25</w:t>
            </w:r>
          </w:p>
        </w:tc>
        <w:tc>
          <w:tcPr>
            <w:tcW w:w="1417"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&gt;3.25 </w:t>
            </w:r>
          </w:p>
        </w:tc>
        <w:tc>
          <w:tcPr>
            <w:tcW w:w="1418"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63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70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33</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2</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40</w:t>
            </w: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4</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9</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19</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F. FIB-4-MetDis</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992"/>
        <w:gridCol w:w="1134"/>
        <w:gridCol w:w="1418"/>
        <w:gridCol w:w="1417"/>
        <w:gridCol w:w="1418"/>
      </w:tblGrid>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FIB-4</w:t>
            </w:r>
          </w:p>
        </w:tc>
        <w:tc>
          <w:tcPr>
            <w:tcW w:w="992"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t>&lt;1.30</w:t>
            </w:r>
          </w:p>
        </w:tc>
        <w:tc>
          <w:tcPr>
            <w:tcW w:w="3969" w:type="dxa"/>
            <w:gridSpan w:val="3"/>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1.30-3.25</w:t>
            </w:r>
          </w:p>
        </w:tc>
        <w:tc>
          <w:tcPr>
            <w:tcW w:w="1418" w:type="dxa"/>
            <w:vMerge w:val="restart"/>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b/>
                <w:bCs/>
              </w:rPr>
              <w:t xml:space="preserve">&gt;3.25 </w:t>
            </w:r>
          </w:p>
        </w:tc>
      </w:tr>
      <w:tr w:rsidR="00022E8A" w:rsidRPr="00AF5F8D" w:rsidTr="00DD038A">
        <w:trPr>
          <w:trHeight w:val="274"/>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Metabolic disorders*</w:t>
            </w:r>
          </w:p>
        </w:tc>
        <w:tc>
          <w:tcPr>
            <w:tcW w:w="992"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c>
          <w:tcPr>
            <w:tcW w:w="1134"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None</w:t>
            </w:r>
          </w:p>
        </w:tc>
        <w:tc>
          <w:tcPr>
            <w:tcW w:w="1418"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RH or FPG</w:t>
            </w:r>
          </w:p>
        </w:tc>
        <w:tc>
          <w:tcPr>
            <w:tcW w:w="1417"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RH &amp; FPG</w:t>
            </w:r>
          </w:p>
        </w:tc>
        <w:tc>
          <w:tcPr>
            <w:tcW w:w="1418" w:type="dxa"/>
            <w:vMerge/>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F0-2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136</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15</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33</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18</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5</w:t>
            </w:r>
          </w:p>
        </w:tc>
      </w:tr>
      <w:tr w:rsidR="00022E8A" w:rsidRPr="00AF5F8D" w:rsidTr="00DD038A">
        <w:trPr>
          <w:trHeight w:val="140"/>
        </w:trPr>
        <w:tc>
          <w:tcPr>
            <w:tcW w:w="2655" w:type="dxa"/>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 xml:space="preserve">F3-4 </w:t>
            </w:r>
          </w:p>
        </w:tc>
        <w:tc>
          <w:tcPr>
            <w:tcW w:w="992"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13</w:t>
            </w:r>
          </w:p>
        </w:tc>
        <w:tc>
          <w:tcPr>
            <w:tcW w:w="1134"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0</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9</w:t>
            </w:r>
          </w:p>
        </w:tc>
        <w:tc>
          <w:tcPr>
            <w:tcW w:w="1417"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13</w:t>
            </w:r>
          </w:p>
        </w:tc>
        <w:tc>
          <w:tcPr>
            <w:tcW w:w="1418" w:type="dxa"/>
            <w:shd w:val="clear" w:color="auto" w:fill="auto"/>
          </w:tcPr>
          <w:p w:rsidR="00022E8A" w:rsidRPr="00AF5F8D" w:rsidRDefault="00022E8A" w:rsidP="00DD03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3</w:t>
            </w:r>
          </w:p>
        </w:tc>
      </w:tr>
    </w:tbl>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r w:rsidRPr="00AF5F8D">
        <w:rPr>
          <w:rFonts w:ascii="Times New Roman" w:hAnsi="Times New Roman" w:cs="Times New Roman"/>
        </w:rPr>
        <w:t>*RH, reduced high-density lipoprotein cholesterol or on Rx; FPG, more than 5.6 mmol/L or diabetes, according to the guideline of metabolic syndrome, 2005.</w:t>
      </w:r>
    </w:p>
    <w:p w:rsidR="00022E8A" w:rsidRPr="00AF5F8D" w:rsidRDefault="00022E8A" w:rsidP="00022E8A">
      <w:pPr>
        <w:widowControl/>
        <w:jc w:val="left"/>
        <w:rPr>
          <w:rFonts w:ascii="Times New Roman" w:eastAsia="宋体" w:hAnsi="Times New Roman" w:cs="Times New Roman"/>
          <w:b/>
          <w:bCs/>
          <w:kern w:val="0"/>
          <w:sz w:val="24"/>
          <w:szCs w:val="24"/>
        </w:rPr>
      </w:pPr>
      <w:r w:rsidRPr="00AF5F8D">
        <w:rPr>
          <w:rFonts w:ascii="Times New Roman" w:hAnsi="Times New Roman" w:cs="Times New Roman"/>
          <w:b/>
          <w:bCs/>
        </w:rPr>
        <w:br w:type="page"/>
      </w: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b/>
          <w:bCs/>
        </w:rPr>
      </w:pPr>
      <w:r w:rsidRPr="00AF5F8D">
        <w:rPr>
          <w:rFonts w:ascii="Times New Roman" w:hAnsi="Times New Roman" w:cs="Times New Roman"/>
          <w:b/>
          <w:bCs/>
        </w:rPr>
        <w:lastRenderedPageBreak/>
        <w:t>Supplementary information</w:t>
      </w:r>
    </w:p>
    <w:p w:rsidR="00022E8A" w:rsidRPr="00AF5F8D" w:rsidRDefault="00022E8A" w:rsidP="00022E8A">
      <w:pPr>
        <w:snapToGrid w:val="0"/>
        <w:spacing w:line="480" w:lineRule="auto"/>
        <w:rPr>
          <w:rFonts w:ascii="Times New Roman" w:hAnsi="Times New Roman" w:cs="Times New Roman"/>
          <w:sz w:val="24"/>
          <w:szCs w:val="24"/>
        </w:rPr>
      </w:pPr>
      <w:r w:rsidRPr="00AF5F8D">
        <w:rPr>
          <w:rFonts w:ascii="Times New Roman" w:hAnsi="Times New Roman" w:cs="Times New Roman"/>
          <w:sz w:val="24"/>
          <w:szCs w:val="24"/>
        </w:rPr>
        <w:t>Qualified researchers may request access to patient-level data and related study documents including the clinical study report, study protocol with any amendments, blank case report form, statistical analysis plan, and dataset specifications. Patient-level data will be anonymized and study documents will be redacted to protect the privacy of our trial participants. Further details on Sanofi’s data sharing criteria, eligible studies, and process for requesting access can be found at: https://www.clinicalstudydatarequest.com/.</w:t>
      </w:r>
    </w:p>
    <w:p w:rsidR="00022E8A" w:rsidRPr="00AF5F8D" w:rsidRDefault="00022E8A" w:rsidP="00022E8A">
      <w:pPr>
        <w:pStyle w:val="NormalWeb"/>
        <w:snapToGrid w:val="0"/>
        <w:spacing w:before="0" w:beforeAutospacing="0" w:after="0" w:afterAutospacing="0" w:line="480" w:lineRule="auto"/>
        <w:jc w:val="both"/>
        <w:rPr>
          <w:rFonts w:ascii="Times New Roman" w:hAnsi="Times New Roman" w:cs="Times New Roman"/>
        </w:rPr>
      </w:pPr>
    </w:p>
    <w:p w:rsidR="00022E8A" w:rsidRPr="00AF5F8D" w:rsidRDefault="00022E8A" w:rsidP="00022E8A">
      <w:pPr>
        <w:widowControl/>
        <w:snapToGrid w:val="0"/>
        <w:spacing w:line="480" w:lineRule="auto"/>
        <w:rPr>
          <w:rFonts w:ascii="Times New Roman" w:hAnsi="Times New Roman" w:cs="Times New Roman"/>
          <w:b/>
          <w:bCs/>
          <w:sz w:val="24"/>
          <w:szCs w:val="24"/>
        </w:rPr>
      </w:pPr>
    </w:p>
    <w:p w:rsidR="00B9663B" w:rsidRPr="00022E8A" w:rsidRDefault="00B9663B"/>
    <w:sectPr w:rsidR="00B9663B" w:rsidRPr="00022E8A" w:rsidSect="006172D1">
      <w:pgSz w:w="11906" w:h="16838"/>
      <w:pgMar w:top="1440" w:right="1440" w:bottom="1440" w:left="1440" w:header="850" w:footer="99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2E8A"/>
    <w:rsid w:val="00022E8A"/>
    <w:rsid w:val="00050DE6"/>
    <w:rsid w:val="00060B57"/>
    <w:rsid w:val="00B96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8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E8A"/>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39"/>
    <w:rsid w:val="00022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jcth</dc:creator>
  <cp:keywords/>
  <dc:description/>
  <cp:lastModifiedBy>Robin Wei</cp:lastModifiedBy>
  <cp:revision>2</cp:revision>
  <dcterms:created xsi:type="dcterms:W3CDTF">2021-04-20T08:08:00Z</dcterms:created>
  <dcterms:modified xsi:type="dcterms:W3CDTF">2021-04-21T06:36:00Z</dcterms:modified>
</cp:coreProperties>
</file>