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C" w:rsidRPr="009658A4" w:rsidRDefault="00A332EC" w:rsidP="00A332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1"/>
          <w:lang/>
        </w:rPr>
      </w:pPr>
      <w:r w:rsidRPr="009658A4">
        <w:rPr>
          <w:rFonts w:ascii="Times New Roman" w:eastAsia="Times New Roman" w:hAnsi="Times New Roman" w:cs="Times New Roman"/>
          <w:b/>
          <w:bCs/>
          <w:szCs w:val="21"/>
          <w:lang/>
        </w:rPr>
        <w:t>Supplementary</w:t>
      </w:r>
      <w:r w:rsidRPr="009658A4">
        <w:rPr>
          <w:rFonts w:ascii="Times New Roman" w:eastAsia="宋体" w:hAnsi="Times New Roman" w:cs="Times New Roman"/>
          <w:b/>
          <w:bCs/>
          <w:szCs w:val="21"/>
          <w:lang/>
        </w:rPr>
        <w:t xml:space="preserve"> </w:t>
      </w:r>
      <w:r w:rsidRPr="009658A4">
        <w:rPr>
          <w:rFonts w:ascii="Times New Roman" w:eastAsia="Times New Roman" w:hAnsi="Times New Roman" w:cs="Times New Roman"/>
          <w:b/>
          <w:bCs/>
          <w:szCs w:val="21"/>
          <w:lang/>
        </w:rPr>
        <w:t xml:space="preserve">Table 2. Diagnostic performance of the three non-invasive </w:t>
      </w:r>
      <w:r w:rsidRPr="009658A4">
        <w:rPr>
          <w:rFonts w:ascii="Times New Roman" w:eastAsia="宋体" w:hAnsi="Times New Roman" w:cs="Times New Roman"/>
          <w:b/>
          <w:bCs/>
          <w:szCs w:val="21"/>
          <w:lang/>
        </w:rPr>
        <w:t>test</w:t>
      </w:r>
      <w:r w:rsidRPr="009658A4">
        <w:rPr>
          <w:rFonts w:ascii="Times New Roman" w:eastAsia="Times New Roman" w:hAnsi="Times New Roman" w:cs="Times New Roman"/>
          <w:b/>
          <w:bCs/>
          <w:szCs w:val="21"/>
          <w:lang/>
        </w:rPr>
        <w:t>s for significant fibrosis (≥S2)</w:t>
      </w:r>
    </w:p>
    <w:tbl>
      <w:tblPr>
        <w:tblW w:w="9714" w:type="dxa"/>
        <w:tblInd w:w="-79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1418"/>
        <w:gridCol w:w="420"/>
        <w:gridCol w:w="1418"/>
        <w:gridCol w:w="1418"/>
        <w:gridCol w:w="1644"/>
        <w:gridCol w:w="1711"/>
        <w:gridCol w:w="1685"/>
      </w:tblGrid>
      <w:tr w:rsidR="00A332EC" w:rsidRPr="009658A4" w:rsidTr="00DC6259">
        <w:trPr>
          <w:trHeight w:val="20"/>
        </w:trPr>
        <w:tc>
          <w:tcPr>
            <w:tcW w:w="18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Number of cardiometabolic risk factors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Cutoff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Sensitivity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Specificity</w:t>
            </w:r>
          </w:p>
        </w:tc>
        <w:tc>
          <w:tcPr>
            <w:tcW w:w="17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Positive predictive value</w:t>
            </w:r>
          </w:p>
        </w:tc>
        <w:tc>
          <w:tcPr>
            <w:tcW w:w="1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Negative predictive value</w:t>
            </w:r>
          </w:p>
        </w:tc>
      </w:tr>
      <w:tr w:rsidR="00A332EC" w:rsidRPr="009658A4" w:rsidTr="00DC6259">
        <w:trPr>
          <w:trHeight w:val="20"/>
        </w:trPr>
        <w:tc>
          <w:tcPr>
            <w:tcW w:w="1418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lightGray"/>
                <w:lang/>
              </w:rPr>
            </w:pPr>
          </w:p>
        </w:tc>
        <w:tc>
          <w:tcPr>
            <w:tcW w:w="8296" w:type="dxa"/>
            <w:gridSpan w:val="6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lightGray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highlight w:val="lightGray"/>
                <w:lang/>
              </w:rPr>
              <w:t>Fibrosis-4 index</w:t>
            </w:r>
          </w:p>
        </w:tc>
      </w:tr>
      <w:tr w:rsidR="00A332EC" w:rsidRPr="009658A4" w:rsidTr="00DC6259">
        <w:trPr>
          <w:trHeight w:val="23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top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1.26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57.5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87.8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84.4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64.3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1-3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1.26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45.3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79.0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65.0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62.6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4-5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0.80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80.0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43.8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59.7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67.7</w:t>
            </w:r>
          </w:p>
        </w:tc>
      </w:tr>
      <w:tr w:rsidR="00A332EC" w:rsidRPr="009658A4" w:rsidTr="00DC6259">
        <w:trPr>
          <w:trHeight w:val="90"/>
        </w:trPr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</w:p>
        </w:tc>
        <w:tc>
          <w:tcPr>
            <w:tcW w:w="8296" w:type="dxa"/>
            <w:gridSpan w:val="6"/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Aspartate aminotransferase-to-platelet ratio index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top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66.0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82.9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81.6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68.0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1-3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0.39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69.2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58.8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59.2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68.9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4-5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50.0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79.2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71.4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60.3</w:t>
            </w:r>
          </w:p>
        </w:tc>
      </w:tr>
      <w:tr w:rsidR="00A332EC" w:rsidRPr="009658A4" w:rsidTr="00DC6259">
        <w:trPr>
          <w:trHeight w:val="20"/>
        </w:trPr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</w:p>
        </w:tc>
        <w:tc>
          <w:tcPr>
            <w:tcW w:w="8296" w:type="dxa"/>
            <w:gridSpan w:val="6"/>
            <w:shd w:val="clear" w:color="auto" w:fill="DDD9C3" w:themeFill="background2" w:themeFillShade="E6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NAFLD fibrosis score</w:t>
            </w:r>
          </w:p>
        </w:tc>
      </w:tr>
      <w:tr w:rsidR="00A332EC" w:rsidRPr="009658A4" w:rsidTr="00DC6259">
        <w:trPr>
          <w:trHeight w:val="307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top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-3.55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83.0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53.7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67.2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73.3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1-3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-2.15</w:t>
            </w:r>
          </w:p>
        </w:tc>
        <w:tc>
          <w:tcPr>
            <w:tcW w:w="1418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54.2</w:t>
            </w:r>
          </w:p>
        </w:tc>
        <w:tc>
          <w:tcPr>
            <w:tcW w:w="1644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66.9</w:t>
            </w:r>
          </w:p>
        </w:tc>
        <w:tc>
          <w:tcPr>
            <w:tcW w:w="1711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58.5</w:t>
            </w:r>
          </w:p>
        </w:tc>
        <w:tc>
          <w:tcPr>
            <w:tcW w:w="1685" w:type="dxa"/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62.9</w:t>
            </w:r>
          </w:p>
        </w:tc>
      </w:tr>
      <w:tr w:rsidR="00A332EC" w:rsidRPr="009658A4" w:rsidTr="00DC6259">
        <w:trPr>
          <w:trHeight w:val="20"/>
        </w:trPr>
        <w:tc>
          <w:tcPr>
            <w:tcW w:w="183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4-5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-1.00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48.0</w:t>
            </w:r>
          </w:p>
        </w:tc>
        <w:tc>
          <w:tcPr>
            <w:tcW w:w="1644" w:type="dxa"/>
            <w:tcBorders>
              <w:bottom w:val="single" w:sz="8" w:space="0" w:color="auto"/>
            </w:tcBorders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70.8</w:t>
            </w:r>
          </w:p>
        </w:tc>
        <w:tc>
          <w:tcPr>
            <w:tcW w:w="1711" w:type="dxa"/>
            <w:tcBorders>
              <w:bottom w:val="single" w:sz="8" w:space="0" w:color="auto"/>
            </w:tcBorders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63.2</w:t>
            </w:r>
          </w:p>
        </w:tc>
        <w:tc>
          <w:tcPr>
            <w:tcW w:w="1685" w:type="dxa"/>
            <w:tcBorders>
              <w:bottom w:val="single" w:sz="8" w:space="0" w:color="auto"/>
            </w:tcBorders>
            <w:shd w:val="clear" w:color="auto" w:fill="FFFFFF"/>
          </w:tcPr>
          <w:p w:rsidR="00A332EC" w:rsidRPr="009658A4" w:rsidRDefault="00A332EC" w:rsidP="00DC6259">
            <w:pPr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9658A4">
              <w:rPr>
                <w:rFonts w:ascii="Times New Roman" w:hAnsi="Times New Roman" w:cs="Times New Roman"/>
                <w:szCs w:val="21"/>
              </w:rPr>
              <w:t>56.7</w:t>
            </w:r>
          </w:p>
        </w:tc>
      </w:tr>
    </w:tbl>
    <w:p w:rsidR="00A332EC" w:rsidRPr="009658A4" w:rsidRDefault="00A332EC" w:rsidP="00A332EC">
      <w:pPr>
        <w:spacing w:line="360" w:lineRule="auto"/>
        <w:rPr>
          <w:rFonts w:ascii="Times New Roman" w:hAnsi="Times New Roman" w:cs="Times New Roman"/>
        </w:rPr>
      </w:pPr>
      <w:r w:rsidRPr="009658A4">
        <w:rPr>
          <w:rFonts w:ascii="Times New Roman" w:hAnsi="Times New Roman" w:cs="Times New Roman"/>
          <w:szCs w:val="21"/>
        </w:rPr>
        <w:t xml:space="preserve">NAFLD, </w:t>
      </w:r>
      <w:r w:rsidRPr="009658A4">
        <w:rPr>
          <w:rFonts w:ascii="Times New Roman" w:eastAsia="Times New Roman" w:hAnsi="Times New Roman" w:cs="Times New Roman"/>
          <w:szCs w:val="21"/>
          <w:lang/>
        </w:rPr>
        <w:t>non-alcoholic fatty liver disease</w:t>
      </w:r>
      <w:r w:rsidRPr="009658A4">
        <w:rPr>
          <w:rFonts w:ascii="Times New Roman" w:eastAsia="宋体" w:hAnsi="Times New Roman" w:cs="Times New Roman"/>
          <w:szCs w:val="21"/>
          <w:lang/>
        </w:rPr>
        <w:t>.</w:t>
      </w:r>
    </w:p>
    <w:p w:rsidR="00A332EC" w:rsidRPr="009658A4" w:rsidRDefault="00A332EC" w:rsidP="00A332EC">
      <w:pPr>
        <w:rPr>
          <w:rFonts w:ascii="Times New Roman" w:hAnsi="Times New Roman" w:cs="Times New Roman"/>
        </w:rPr>
      </w:pPr>
    </w:p>
    <w:p w:rsidR="00405898" w:rsidRDefault="00405898"/>
    <w:sectPr w:rsidR="00405898" w:rsidSect="00C8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A332EC"/>
    <w:rsid w:val="00405898"/>
    <w:rsid w:val="00A3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2024-07-05T06:26:00Z</dcterms:created>
  <dcterms:modified xsi:type="dcterms:W3CDTF">2024-07-05T06:26:00Z</dcterms:modified>
</cp:coreProperties>
</file>