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53" w:rsidRPr="0005076E" w:rsidRDefault="00A73653" w:rsidP="00A73653">
      <w:pPr>
        <w:shd w:val="clear" w:color="auto" w:fill="FFFFFF"/>
        <w:rPr>
          <w:rFonts w:ascii="Times New Roman" w:eastAsia="宋体" w:hAnsi="Times New Roman" w:cs="Times New Roman"/>
          <w:color w:val="000000" w:themeColor="text1"/>
        </w:rPr>
      </w:pPr>
      <w:r w:rsidRPr="0005076E">
        <w:rPr>
          <w:rFonts w:ascii="Times New Roman" w:eastAsia="宋体" w:hAnsi="Times New Roman" w:cs="Times New Roman"/>
          <w:b/>
          <w:color w:val="000000" w:themeColor="text1"/>
        </w:rPr>
        <w:t>Table S1.</w:t>
      </w:r>
      <w:r w:rsidRPr="0005076E">
        <w:rPr>
          <w:rFonts w:ascii="Times New Roman" w:eastAsia="宋体" w:hAnsi="Times New Roman" w:cs="Times New Roman"/>
          <w:color w:val="000000" w:themeColor="text1"/>
        </w:rPr>
        <w:t xml:space="preserve"> The potential targets of DHA are predicted by the STITCH database.</w:t>
      </w:r>
    </w:p>
    <w:tbl>
      <w:tblPr>
        <w:tblStyle w:val="TableGrid"/>
        <w:tblW w:w="5000" w:type="pct"/>
        <w:tblLook w:val="04A0"/>
      </w:tblPr>
      <w:tblGrid>
        <w:gridCol w:w="1716"/>
        <w:gridCol w:w="6026"/>
        <w:gridCol w:w="1114"/>
      </w:tblGrid>
      <w:tr w:rsidR="00A73653" w:rsidRPr="0005076E" w:rsidTr="002E6490">
        <w:tc>
          <w:tcPr>
            <w:tcW w:w="4371" w:type="pct"/>
            <w:gridSpan w:val="2"/>
            <w:tcBorders>
              <w:top w:val="single" w:sz="18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A73653" w:rsidRPr="0005076E" w:rsidRDefault="00A73653" w:rsidP="002E6490">
            <w:pPr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</w:pPr>
            <w:r w:rsidRPr="0005076E"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  <w:t>Proteins</w:t>
            </w:r>
          </w:p>
        </w:tc>
        <w:tc>
          <w:tcPr>
            <w:tcW w:w="629" w:type="pct"/>
            <w:tcBorders>
              <w:top w:val="single" w:sz="18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A73653" w:rsidRPr="0005076E" w:rsidRDefault="00A73653" w:rsidP="002E6490">
            <w:pPr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</w:pPr>
            <w:r w:rsidRPr="0005076E"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  <w:t xml:space="preserve">Score </w:t>
            </w:r>
            <w:r w:rsidRPr="0005076E"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  <w:vertAlign w:val="superscript"/>
              </w:rPr>
              <w:t>*</w:t>
            </w:r>
          </w:p>
        </w:tc>
      </w:tr>
      <w:tr w:rsidR="00A73653" w:rsidRPr="0005076E" w:rsidTr="002E6490">
        <w:tc>
          <w:tcPr>
            <w:tcW w:w="969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A73653" w:rsidRPr="0005076E" w:rsidRDefault="00A73653" w:rsidP="002E6490">
            <w:pPr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</w:pPr>
            <w:bookmarkStart w:id="0" w:name="_Hlk62807406"/>
            <w:r w:rsidRPr="0005076E"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  <w:t>TNFSF10B</w:t>
            </w:r>
          </w:p>
        </w:tc>
        <w:tc>
          <w:tcPr>
            <w:tcW w:w="3402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A73653" w:rsidRPr="0005076E" w:rsidRDefault="00A73653" w:rsidP="002E6490">
            <w:pPr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</w:pPr>
            <w:r w:rsidRPr="0005076E"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  <w:t>tumor necrosis factor receptor superfamily, member 10</w:t>
            </w:r>
          </w:p>
        </w:tc>
        <w:tc>
          <w:tcPr>
            <w:tcW w:w="629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A73653" w:rsidRPr="0005076E" w:rsidRDefault="00A73653" w:rsidP="002E6490">
            <w:pPr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</w:pPr>
            <w:r w:rsidRPr="0005076E"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  <w:t>0.835</w:t>
            </w:r>
          </w:p>
        </w:tc>
      </w:tr>
      <w:tr w:rsidR="00A73653" w:rsidRPr="0005076E" w:rsidTr="002E6490"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653" w:rsidRPr="0005076E" w:rsidRDefault="00A73653" w:rsidP="002E6490">
            <w:pPr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</w:pPr>
            <w:r w:rsidRPr="0005076E"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  <w:t>UGT1A9</w:t>
            </w:r>
          </w:p>
        </w:tc>
        <w:tc>
          <w:tcPr>
            <w:tcW w:w="3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653" w:rsidRPr="0005076E" w:rsidRDefault="00A73653" w:rsidP="002E6490">
            <w:pPr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</w:pPr>
            <w:r w:rsidRPr="0005076E"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  <w:t>UDP glucuronosyltransferase 1 family, polypeptide A9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653" w:rsidRPr="0005076E" w:rsidRDefault="00A73653" w:rsidP="002E6490">
            <w:pPr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</w:pPr>
            <w:r w:rsidRPr="0005076E"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  <w:t>0.822</w:t>
            </w:r>
          </w:p>
        </w:tc>
      </w:tr>
      <w:tr w:rsidR="00A73653" w:rsidRPr="0005076E" w:rsidTr="002E6490"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653" w:rsidRPr="0005076E" w:rsidRDefault="00A73653" w:rsidP="002E6490">
            <w:pPr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</w:pPr>
            <w:r w:rsidRPr="0005076E"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  <w:t>CYP3A4</w:t>
            </w:r>
          </w:p>
        </w:tc>
        <w:tc>
          <w:tcPr>
            <w:tcW w:w="3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653" w:rsidRPr="0005076E" w:rsidRDefault="00A73653" w:rsidP="002E6490">
            <w:pPr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</w:pPr>
            <w:r w:rsidRPr="0005076E"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  <w:t>cytochrome P450, 3A4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653" w:rsidRPr="0005076E" w:rsidRDefault="00A73653" w:rsidP="002E6490">
            <w:pPr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</w:pPr>
            <w:r w:rsidRPr="0005076E"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  <w:t>0.745</w:t>
            </w:r>
          </w:p>
        </w:tc>
      </w:tr>
      <w:tr w:rsidR="00A73653" w:rsidRPr="0005076E" w:rsidTr="002E6490"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653" w:rsidRPr="0005076E" w:rsidRDefault="00A73653" w:rsidP="002E6490">
            <w:pPr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</w:pPr>
            <w:r w:rsidRPr="0005076E"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  <w:t>CYP2C19</w:t>
            </w:r>
          </w:p>
        </w:tc>
        <w:tc>
          <w:tcPr>
            <w:tcW w:w="3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653" w:rsidRPr="0005076E" w:rsidRDefault="00A73653" w:rsidP="002E6490">
            <w:pPr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</w:pPr>
            <w:r w:rsidRPr="0005076E"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  <w:t>cytochrome P450, 2C19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653" w:rsidRPr="0005076E" w:rsidRDefault="00A73653" w:rsidP="002E6490">
            <w:pPr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</w:pPr>
            <w:r w:rsidRPr="0005076E"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  <w:t>0.729</w:t>
            </w:r>
          </w:p>
        </w:tc>
      </w:tr>
      <w:tr w:rsidR="00A73653" w:rsidRPr="0005076E" w:rsidTr="002E6490"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653" w:rsidRPr="0005076E" w:rsidRDefault="00A73653" w:rsidP="002E6490">
            <w:pPr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</w:pPr>
            <w:r w:rsidRPr="0005076E"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  <w:t>CASP3</w:t>
            </w:r>
          </w:p>
        </w:tc>
        <w:tc>
          <w:tcPr>
            <w:tcW w:w="3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653" w:rsidRPr="0005076E" w:rsidRDefault="00A73653" w:rsidP="002E6490">
            <w:pPr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</w:pPr>
            <w:r w:rsidRPr="0005076E"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  <w:t>caspase 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653" w:rsidRPr="0005076E" w:rsidRDefault="00A73653" w:rsidP="002E6490">
            <w:pPr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</w:pPr>
            <w:r w:rsidRPr="0005076E"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  <w:t>0.728</w:t>
            </w:r>
          </w:p>
        </w:tc>
      </w:tr>
      <w:tr w:rsidR="00A73653" w:rsidRPr="0005076E" w:rsidTr="002E6490"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653" w:rsidRPr="0005076E" w:rsidRDefault="00A73653" w:rsidP="002E6490">
            <w:pPr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</w:pPr>
            <w:r w:rsidRPr="0005076E"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  <w:t>CYP1A2</w:t>
            </w:r>
          </w:p>
        </w:tc>
        <w:tc>
          <w:tcPr>
            <w:tcW w:w="3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653" w:rsidRPr="0005076E" w:rsidRDefault="00A73653" w:rsidP="002E6490">
            <w:pPr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</w:pPr>
            <w:r w:rsidRPr="0005076E"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  <w:t>cytochrome P450, 1A2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653" w:rsidRPr="0005076E" w:rsidRDefault="00A73653" w:rsidP="002E6490">
            <w:pPr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</w:pPr>
            <w:r w:rsidRPr="0005076E"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  <w:t>0.725</w:t>
            </w:r>
          </w:p>
        </w:tc>
      </w:tr>
      <w:tr w:rsidR="00A73653" w:rsidRPr="0005076E" w:rsidTr="002E6490"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653" w:rsidRPr="0005076E" w:rsidRDefault="00A73653" w:rsidP="002E6490">
            <w:pPr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</w:pPr>
            <w:r w:rsidRPr="0005076E"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  <w:t>TP53</w:t>
            </w:r>
            <w:r w:rsidRPr="0005076E"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  <w:tab/>
            </w:r>
          </w:p>
        </w:tc>
        <w:tc>
          <w:tcPr>
            <w:tcW w:w="3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653" w:rsidRPr="0005076E" w:rsidRDefault="00A73653" w:rsidP="002E6490">
            <w:pPr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</w:pPr>
            <w:r w:rsidRPr="0005076E"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  <w:t>tumor protein p53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653" w:rsidRPr="0005076E" w:rsidRDefault="00A73653" w:rsidP="002E6490">
            <w:pPr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</w:pPr>
            <w:r w:rsidRPr="0005076E"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  <w:t>0.700</w:t>
            </w:r>
          </w:p>
        </w:tc>
      </w:tr>
      <w:tr w:rsidR="00A73653" w:rsidRPr="0005076E" w:rsidTr="002E6490"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653" w:rsidRPr="0005076E" w:rsidRDefault="00A73653" w:rsidP="002E6490">
            <w:pPr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</w:pPr>
            <w:r w:rsidRPr="0005076E"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  <w:t>UGT1A7</w:t>
            </w:r>
          </w:p>
        </w:tc>
        <w:tc>
          <w:tcPr>
            <w:tcW w:w="3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653" w:rsidRPr="0005076E" w:rsidRDefault="00A73653" w:rsidP="002E6490">
            <w:pPr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</w:pPr>
            <w:r w:rsidRPr="0005076E"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  <w:t>UDP glucuronosyltransferase 1 family, polypeptide A7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653" w:rsidRPr="0005076E" w:rsidRDefault="00A73653" w:rsidP="002E6490">
            <w:pPr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</w:pPr>
            <w:r w:rsidRPr="0005076E"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  <w:t>0.579</w:t>
            </w:r>
          </w:p>
        </w:tc>
      </w:tr>
      <w:tr w:rsidR="00A73653" w:rsidRPr="0005076E" w:rsidTr="002E6490"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653" w:rsidRPr="0005076E" w:rsidRDefault="00A73653" w:rsidP="002E6490">
            <w:pPr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</w:pPr>
            <w:r w:rsidRPr="0005076E"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  <w:t>UGT1A10</w:t>
            </w:r>
          </w:p>
        </w:tc>
        <w:tc>
          <w:tcPr>
            <w:tcW w:w="3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653" w:rsidRPr="0005076E" w:rsidRDefault="00A73653" w:rsidP="002E6490">
            <w:pPr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</w:pPr>
            <w:r w:rsidRPr="0005076E"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  <w:t>UDP glucuronosyltransferase 1 family, polypeptide A10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653" w:rsidRPr="0005076E" w:rsidRDefault="00A73653" w:rsidP="002E6490">
            <w:pPr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</w:pPr>
            <w:r w:rsidRPr="0005076E"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  <w:t>0.579</w:t>
            </w:r>
          </w:p>
        </w:tc>
      </w:tr>
      <w:tr w:rsidR="00A73653" w:rsidRPr="0005076E" w:rsidTr="002E6490">
        <w:tc>
          <w:tcPr>
            <w:tcW w:w="969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vAlign w:val="center"/>
          </w:tcPr>
          <w:p w:rsidR="00A73653" w:rsidRPr="0005076E" w:rsidRDefault="00A73653" w:rsidP="002E6490">
            <w:pPr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</w:pPr>
            <w:r w:rsidRPr="0005076E"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  <w:t>UGT1A1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vAlign w:val="center"/>
          </w:tcPr>
          <w:p w:rsidR="00A73653" w:rsidRPr="0005076E" w:rsidRDefault="00A73653" w:rsidP="002E6490">
            <w:pPr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</w:pPr>
            <w:r w:rsidRPr="0005076E"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  <w:t>UDP glucuronosyltransferase 1 family, polypeptide A1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vAlign w:val="center"/>
          </w:tcPr>
          <w:p w:rsidR="00A73653" w:rsidRPr="0005076E" w:rsidRDefault="00A73653" w:rsidP="002E6490">
            <w:pPr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</w:pPr>
            <w:r w:rsidRPr="0005076E">
              <w:rPr>
                <w:rFonts w:ascii="Times New Roman" w:eastAsia="华文仿宋" w:hAnsi="Times New Roman" w:cs="Times New Roman"/>
                <w:color w:val="000000" w:themeColor="text1"/>
                <w:sz w:val="22"/>
                <w:szCs w:val="18"/>
              </w:rPr>
              <w:t>0.579</w:t>
            </w:r>
          </w:p>
        </w:tc>
      </w:tr>
    </w:tbl>
    <w:bookmarkEnd w:id="0"/>
    <w:p w:rsidR="00A73653" w:rsidRPr="0005076E" w:rsidRDefault="00A73653" w:rsidP="00A73653">
      <w:pPr>
        <w:rPr>
          <w:rFonts w:ascii="Times New Roman" w:eastAsia="宋体" w:hAnsi="Times New Roman" w:cs="Times New Roman"/>
          <w:color w:val="000000" w:themeColor="text1"/>
        </w:rPr>
      </w:pPr>
      <w:r w:rsidRPr="0005076E">
        <w:rPr>
          <w:rFonts w:ascii="Times New Roman" w:eastAsia="宋体" w:hAnsi="Times New Roman" w:cs="Times New Roman"/>
          <w:color w:val="000000" w:themeColor="text1"/>
        </w:rPr>
        <w:t>Note:</w:t>
      </w:r>
      <w:r w:rsidRPr="0005076E">
        <w:rPr>
          <w:rFonts w:ascii="Times New Roman" w:eastAsia="华文仿宋" w:hAnsi="Times New Roman" w:cs="Times New Roman" w:hint="eastAsia"/>
          <w:color w:val="000000" w:themeColor="text1"/>
          <w:sz w:val="18"/>
          <w:szCs w:val="18"/>
          <w:vertAlign w:val="superscript"/>
        </w:rPr>
        <w:t xml:space="preserve"> </w:t>
      </w:r>
      <w:r w:rsidRPr="0005076E">
        <w:rPr>
          <w:rFonts w:ascii="Times New Roman" w:eastAsia="宋体" w:hAnsi="Times New Roman" w:cs="Times New Roman" w:hint="eastAsia"/>
          <w:color w:val="000000" w:themeColor="text1"/>
          <w:vertAlign w:val="superscript"/>
        </w:rPr>
        <w:t>*</w:t>
      </w:r>
      <w:r w:rsidRPr="0005076E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Pr="0005076E">
        <w:rPr>
          <w:rFonts w:ascii="Times New Roman" w:eastAsia="宋体" w:hAnsi="Times New Roman" w:cs="Times New Roman" w:hint="eastAsia"/>
          <w:color w:val="000000" w:themeColor="text1"/>
        </w:rPr>
        <w:t>s</w:t>
      </w:r>
      <w:r w:rsidRPr="0005076E">
        <w:rPr>
          <w:rFonts w:ascii="Times New Roman" w:eastAsia="宋体" w:hAnsi="Times New Roman" w:cs="Times New Roman"/>
          <w:color w:val="000000" w:themeColor="text1"/>
        </w:rPr>
        <w:t>core &gt; 0.9 the relationship is very reliable</w:t>
      </w:r>
      <w:r w:rsidRPr="0005076E">
        <w:rPr>
          <w:rFonts w:ascii="Times New Roman" w:eastAsia="宋体" w:hAnsi="Times New Roman" w:cs="Times New Roman" w:hint="eastAsia"/>
          <w:color w:val="000000" w:themeColor="text1"/>
        </w:rPr>
        <w:t>,</w:t>
      </w:r>
      <w:r w:rsidRPr="0005076E">
        <w:rPr>
          <w:rFonts w:ascii="Times New Roman" w:eastAsia="宋体" w:hAnsi="Times New Roman" w:cs="Times New Roman"/>
          <w:color w:val="000000" w:themeColor="text1"/>
        </w:rPr>
        <w:t xml:space="preserve"> &gt; 0.7 the relationship is more reliable</w:t>
      </w:r>
      <w:r w:rsidRPr="0005076E">
        <w:rPr>
          <w:rFonts w:ascii="Times New Roman" w:eastAsia="宋体" w:hAnsi="Times New Roman" w:cs="Times New Roman"/>
          <w:color w:val="000000" w:themeColor="text1"/>
        </w:rPr>
        <w:t>；</w:t>
      </w:r>
      <w:r w:rsidRPr="0005076E">
        <w:rPr>
          <w:rFonts w:ascii="Times New Roman" w:eastAsia="宋体" w:hAnsi="Times New Roman" w:cs="Times New Roman"/>
          <w:color w:val="000000" w:themeColor="text1"/>
        </w:rPr>
        <w:t>&gt; 0.4 the relationship is reliable</w:t>
      </w:r>
      <w:r w:rsidRPr="0005076E">
        <w:rPr>
          <w:rFonts w:ascii="Times New Roman" w:eastAsia="宋体" w:hAnsi="Times New Roman" w:cs="Times New Roman" w:hint="eastAsia"/>
          <w:color w:val="000000" w:themeColor="text1"/>
        </w:rPr>
        <w:t>.</w:t>
      </w:r>
    </w:p>
    <w:p w:rsidR="005B0D13" w:rsidRDefault="005B0D13"/>
    <w:sectPr w:rsidR="005B0D1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A73653"/>
    <w:rsid w:val="005B0D13"/>
    <w:rsid w:val="00A7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3653"/>
    <w:pPr>
      <w:spacing w:after="0" w:line="240" w:lineRule="auto"/>
    </w:pPr>
    <w:rPr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2024-12-30T01:55:00Z</dcterms:created>
  <dcterms:modified xsi:type="dcterms:W3CDTF">2024-12-30T01:55:00Z</dcterms:modified>
</cp:coreProperties>
</file>