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EB" w:rsidRDefault="00FE78EB" w:rsidP="00C0022C">
      <w:pPr>
        <w:spacing w:line="480" w:lineRule="auto"/>
        <w:contextualSpacing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 xml:space="preserve">Supplementary File 1. </w:t>
      </w:r>
      <w:r w:rsidRPr="00C31DE4">
        <w:rPr>
          <w:rFonts w:ascii="Times New Roman" w:eastAsia="宋体" w:hAnsi="Times New Roman" w:cs="Times New Roman"/>
          <w:b/>
          <w:bCs/>
        </w:rPr>
        <w:t>Supplementary</w:t>
      </w:r>
      <w:r>
        <w:rPr>
          <w:rFonts w:ascii="Times New Roman" w:eastAsia="宋体" w:hAnsi="Times New Roman" w:cs="Times New Roman"/>
          <w:b/>
          <w:bCs/>
        </w:rPr>
        <w:t xml:space="preserve"> m</w:t>
      </w:r>
      <w:r w:rsidRPr="00C31DE4">
        <w:rPr>
          <w:rFonts w:ascii="Times New Roman" w:eastAsia="宋体" w:hAnsi="Times New Roman" w:cs="Times New Roman"/>
          <w:b/>
          <w:bCs/>
        </w:rPr>
        <w:t>ethods</w:t>
      </w:r>
    </w:p>
    <w:p w:rsidR="00FE78EB" w:rsidRDefault="00FE78EB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bookmarkStart w:id="0" w:name="_Hlk44063707"/>
      <w:bookmarkStart w:id="1" w:name="_Hlk21596466"/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C31DE4">
        <w:rPr>
          <w:rFonts w:ascii="Times New Roman" w:hAnsi="Times New Roman" w:cs="Times New Roman"/>
          <w:b/>
          <w:bCs/>
        </w:rPr>
        <w:t>Animals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reagents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eastAsia="Arial Unicode MS" w:hAnsi="Times New Roman" w:cs="Times New Roman"/>
        </w:rPr>
      </w:pPr>
      <w:r w:rsidRPr="00C31DE4">
        <w:rPr>
          <w:rFonts w:ascii="Times New Roman" w:hAnsi="Times New Roman" w:cs="Times New Roman"/>
          <w:bCs/>
          <w:iCs/>
        </w:rPr>
        <w:t>C57BL/6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female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mice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obtained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Chongqing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Medical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University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(Chongqing,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China)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maintained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specific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pathogen-free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facility.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animal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studies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approved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t xml:space="preserve"> </w:t>
      </w:r>
      <w:r w:rsidRPr="00C31DE4">
        <w:rPr>
          <w:rFonts w:ascii="Times New Roman" w:hAnsi="Times New Roman" w:cs="Times New Roman"/>
          <w:bCs/>
          <w:iCs/>
        </w:rPr>
        <w:t>Animal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Ethics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Committee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Affiliated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Hospital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Chongqing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Medical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University</w:t>
      </w:r>
      <w:r w:rsidRPr="00C31DE4"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TDF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kindly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</w:rPr>
        <w:t>gifted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Guangshengtang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Pharmaceutical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Co.,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Ltd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(Fujian,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China).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TDF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dissolved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carboxymethylcellulose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sodium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solution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stored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-20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℃.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Then,</w:t>
      </w:r>
      <w:r>
        <w:rPr>
          <w:rFonts w:ascii="Times New Roman" w:hAnsi="Times New Roman" w:cs="Times New Roman"/>
          <w:bCs/>
          <w:iCs/>
        </w:rPr>
        <w:t xml:space="preserve"> 8</w:t>
      </w:r>
      <w:r w:rsidRPr="00C31DE4">
        <w:rPr>
          <w:rFonts w:ascii="Times New Roman" w:hAnsi="Times New Roman" w:cs="Times New Roman"/>
          <w:bCs/>
          <w:iCs/>
        </w:rPr>
        <w:t>-week-old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mice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treated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with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TDF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45.5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mg/kg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/day</w:t>
      </w:r>
      <w:r>
        <w:rPr>
          <w:rFonts w:ascii="Times New Roman" w:hAnsi="Times New Roman" w:cs="Times New Roman"/>
          <w:bCs/>
          <w:iCs/>
        </w:rPr>
        <w:t xml:space="preserve"> was given </w:t>
      </w:r>
      <w:r w:rsidRPr="00C31DE4">
        <w:rPr>
          <w:rFonts w:ascii="Times New Roman" w:hAnsi="Times New Roman" w:cs="Times New Roman"/>
          <w:bCs/>
          <w:iCs/>
        </w:rPr>
        <w:t>by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oral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gavage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for</w:t>
      </w:r>
      <w:r>
        <w:rPr>
          <w:rFonts w:ascii="Times New Roman" w:hAnsi="Times New Roman" w:cs="Times New Roman"/>
          <w:bCs/>
          <w:iCs/>
        </w:rPr>
        <w:t xml:space="preserve"> 4 </w:t>
      </w:r>
      <w:r w:rsidRPr="00C31DE4">
        <w:rPr>
          <w:rFonts w:ascii="Times New Roman" w:hAnsi="Times New Roman" w:cs="Times New Roman"/>
          <w:bCs/>
          <w:iCs/>
        </w:rPr>
        <w:t>months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simulate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long-term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TDF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human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(approximate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ten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years),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control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mice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received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equivalent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volume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carboxymethylcellulose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sodium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solution.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dose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TDF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calculated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extrapolation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human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dosages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normalization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body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surface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area.</w:t>
      </w:r>
      <w:r w:rsidRPr="00C31DE4">
        <w:rPr>
          <w:rFonts w:ascii="Times New Roman" w:hAnsi="Times New Roman" w:cs="Times New Roman"/>
          <w:bCs/>
          <w:iCs/>
          <w:noProof/>
          <w:vertAlign w:val="superscript"/>
        </w:rPr>
        <w:t>1,2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body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weight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of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each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mouse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was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measured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weekly.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Following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treatment,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mice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sacrificed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after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fasting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overnight.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Venous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blood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collected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retro-orbital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</w:rPr>
        <w:t>removing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eyeball,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after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which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tissues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collected</w:t>
      </w:r>
      <w:r w:rsidRPr="00C31DE4">
        <w:rPr>
          <w:rFonts w:ascii="Times New Roman" w:eastAsia="Arial Unicode MS" w:hAnsi="Times New Roman" w:cs="Times New Roman"/>
        </w:rPr>
        <w:t>.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Lactate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levels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were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measured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in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clinical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laboratory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using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the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HITACHI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7600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analyzer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(HITACHI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High-Technologies,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Tokyo,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Japan).</w:t>
      </w:r>
    </w:p>
    <w:p w:rsidR="00C0022C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</w:rPr>
      </w:pPr>
      <w:r w:rsidRPr="00C31DE4">
        <w:rPr>
          <w:rFonts w:ascii="Times New Roman" w:hAnsi="Times New Roman" w:cs="Times New Roman"/>
          <w:b/>
        </w:rPr>
        <w:t>Glycolytic</w:t>
      </w:r>
      <w:r>
        <w:rPr>
          <w:rFonts w:ascii="Times New Roman" w:hAnsi="Times New Roman" w:cs="Times New Roman"/>
          <w:b/>
        </w:rPr>
        <w:t xml:space="preserve"> </w:t>
      </w:r>
      <w:r w:rsidRPr="00C31DE4">
        <w:rPr>
          <w:rFonts w:ascii="Times New Roman" w:hAnsi="Times New Roman" w:cs="Times New Roman"/>
          <w:b/>
        </w:rPr>
        <w:t>enzyme</w:t>
      </w:r>
      <w:r>
        <w:rPr>
          <w:rFonts w:ascii="Times New Roman" w:hAnsi="Times New Roman" w:cs="Times New Roman"/>
          <w:b/>
        </w:rPr>
        <w:t xml:space="preserve"> </w:t>
      </w:r>
      <w:r w:rsidRPr="00C31DE4">
        <w:rPr>
          <w:rFonts w:ascii="Times New Roman" w:hAnsi="Times New Roman" w:cs="Times New Roman"/>
          <w:b/>
        </w:rPr>
        <w:t>activity</w:t>
      </w:r>
      <w:r>
        <w:rPr>
          <w:rFonts w:ascii="Times New Roman" w:hAnsi="Times New Roman" w:cs="Times New Roman"/>
          <w:b/>
        </w:rPr>
        <w:t xml:space="preserve"> </w:t>
      </w:r>
      <w:r w:rsidRPr="00C31DE4">
        <w:rPr>
          <w:rFonts w:ascii="Times New Roman" w:hAnsi="Times New Roman" w:cs="Times New Roman"/>
          <w:b/>
        </w:rPr>
        <w:t>and</w:t>
      </w:r>
      <w:r>
        <w:rPr>
          <w:rFonts w:ascii="Times New Roman" w:hAnsi="Times New Roman" w:cs="Times New Roman"/>
          <w:b/>
        </w:rPr>
        <w:t xml:space="preserve"> </w:t>
      </w:r>
      <w:r w:rsidRPr="00C31DE4">
        <w:rPr>
          <w:rFonts w:ascii="Times New Roman" w:hAnsi="Times New Roman" w:cs="Times New Roman"/>
          <w:b/>
        </w:rPr>
        <w:t>mitochondrial</w:t>
      </w:r>
      <w:r>
        <w:rPr>
          <w:rFonts w:ascii="Times New Roman" w:hAnsi="Times New Roman" w:cs="Times New Roman"/>
          <w:b/>
        </w:rPr>
        <w:t xml:space="preserve"> </w:t>
      </w:r>
      <w:r w:rsidRPr="00C31DE4">
        <w:rPr>
          <w:rFonts w:ascii="Times New Roman" w:hAnsi="Times New Roman" w:cs="Times New Roman"/>
          <w:b/>
        </w:rPr>
        <w:t>complex</w:t>
      </w:r>
      <w:r>
        <w:rPr>
          <w:rFonts w:ascii="Times New Roman" w:hAnsi="Times New Roman" w:cs="Times New Roman"/>
          <w:b/>
        </w:rPr>
        <w:t xml:space="preserve"> </w:t>
      </w:r>
      <w:r w:rsidRPr="00C31DE4">
        <w:rPr>
          <w:rFonts w:ascii="Times New Roman" w:hAnsi="Times New Roman" w:cs="Times New Roman"/>
          <w:b/>
        </w:rPr>
        <w:t>enzyme</w:t>
      </w:r>
      <w:r>
        <w:rPr>
          <w:rFonts w:ascii="Times New Roman" w:hAnsi="Times New Roman" w:cs="Times New Roman"/>
          <w:b/>
        </w:rPr>
        <w:t xml:space="preserve"> </w:t>
      </w:r>
      <w:r w:rsidRPr="00C31DE4">
        <w:rPr>
          <w:rFonts w:ascii="Times New Roman" w:hAnsi="Times New Roman" w:cs="Times New Roman"/>
          <w:b/>
        </w:rPr>
        <w:t>activity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Cs/>
          <w:iCs/>
        </w:rPr>
      </w:pPr>
      <w:r w:rsidRPr="00C31DE4">
        <w:rPr>
          <w:rFonts w:ascii="Times New Roman" w:hAnsi="Times New Roman" w:cs="Times New Roman"/>
          <w:bCs/>
          <w:iCs/>
        </w:rPr>
        <w:t>Phosphofructokinase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(PFK)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pyruvate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dehydrogenase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(PDH)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activity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analyzed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kits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Sigma-Aldrich</w:t>
      </w:r>
      <w:r>
        <w:rPr>
          <w:rFonts w:ascii="Times New Roman" w:hAnsi="Times New Roman" w:cs="Times New Roman"/>
          <w:bCs/>
          <w:iCs/>
        </w:rPr>
        <w:t xml:space="preserve"> (St. Louis, MO, USA) </w:t>
      </w:r>
      <w:r w:rsidRPr="00C31DE4">
        <w:rPr>
          <w:rFonts w:ascii="Times New Roman" w:hAnsi="Times New Roman" w:cs="Times New Roman"/>
          <w:bCs/>
          <w:iCs/>
        </w:rPr>
        <w:t>according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manufacturer’s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instructions.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Lactate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dehydrogenase-A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(LDHA)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activity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determined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measuring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decrease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absorbency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340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nm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when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NADH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oxidized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NAD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presence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pyruvate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previously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described.</w:t>
      </w:r>
      <w:r w:rsidRPr="00C31DE4">
        <w:rPr>
          <w:rFonts w:ascii="Times New Roman" w:hAnsi="Times New Roman" w:cs="Times New Roman"/>
          <w:bCs/>
          <w:iCs/>
          <w:noProof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enzymatic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activity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mitochondrial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complex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II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detected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Abcam</w:t>
      </w:r>
      <w:r>
        <w:rPr>
          <w:rFonts w:ascii="Times New Roman" w:hAnsi="Times New Roman" w:cs="Times New Roman"/>
          <w:bCs/>
          <w:iCs/>
        </w:rPr>
        <w:t xml:space="preserve"> (</w:t>
      </w:r>
      <w:r>
        <w:rPr>
          <w:rFonts w:ascii="Times New Roman" w:eastAsia="MinionPro-Regular" w:hAnsi="Times New Roman" w:cs="Times New Roman"/>
        </w:rPr>
        <w:t>Cambridge, UK</w:t>
      </w:r>
      <w:r>
        <w:rPr>
          <w:rFonts w:ascii="Times New Roman" w:hAnsi="Times New Roman" w:cs="Times New Roman"/>
          <w:bCs/>
          <w:iCs/>
        </w:rPr>
        <w:t xml:space="preserve">) </w:t>
      </w:r>
      <w:r w:rsidRPr="00C31DE4">
        <w:rPr>
          <w:rFonts w:ascii="Times New Roman" w:hAnsi="Times New Roman" w:cs="Times New Roman"/>
          <w:bCs/>
          <w:iCs/>
        </w:rPr>
        <w:t>according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manufacturer’s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instructions.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activities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mitochondrial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complex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III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complex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IV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determined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kits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BioVision</w:t>
      </w:r>
      <w:r>
        <w:rPr>
          <w:rFonts w:ascii="Times New Roman" w:hAnsi="Times New Roman" w:cs="Times New Roman"/>
          <w:bCs/>
          <w:iCs/>
        </w:rPr>
        <w:t xml:space="preserve"> (</w:t>
      </w:r>
      <w:r>
        <w:rPr>
          <w:rFonts w:ascii="Times New Roman" w:eastAsia="MinionPro-Regular" w:hAnsi="Times New Roman" w:cs="Times New Roman"/>
        </w:rPr>
        <w:t>Cambridge, UK</w:t>
      </w:r>
      <w:r>
        <w:rPr>
          <w:rFonts w:ascii="Times New Roman" w:hAnsi="Times New Roman" w:cs="Times New Roman"/>
          <w:bCs/>
          <w:iCs/>
        </w:rPr>
        <w:t xml:space="preserve">) </w:t>
      </w:r>
      <w:r w:rsidRPr="00C31DE4">
        <w:rPr>
          <w:rFonts w:ascii="Times New Roman" w:hAnsi="Times New Roman" w:cs="Times New Roman"/>
          <w:bCs/>
          <w:iCs/>
        </w:rPr>
        <w:t>according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manufacturer’s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instructions.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Prior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measurement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mitochondrial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complex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lastRenderedPageBreak/>
        <w:t>activity,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mitochondria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skeletal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muscle,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heart,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liver,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kidney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isolated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mitochondria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isolation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(Thermo</w:t>
      </w:r>
      <w:r>
        <w:rPr>
          <w:rFonts w:ascii="Times New Roman" w:hAnsi="Times New Roman" w:cs="Times New Roman"/>
          <w:bCs/>
          <w:iCs/>
        </w:rPr>
        <w:t xml:space="preserve"> Fisher Scientific</w:t>
      </w:r>
      <w:r w:rsidRPr="00C31DE4">
        <w:rPr>
          <w:rFonts w:ascii="Times New Roman" w:hAnsi="Times New Roman" w:cs="Times New Roman"/>
          <w:bCs/>
          <w:iCs/>
        </w:rPr>
        <w:t>,</w:t>
      </w:r>
      <w:r>
        <w:rPr>
          <w:rFonts w:ascii="Times New Roman" w:hAnsi="Times New Roman" w:cs="Times New Roman"/>
          <w:bCs/>
          <w:iCs/>
        </w:rPr>
        <w:t xml:space="preserve"> Waltham, MA, </w:t>
      </w:r>
      <w:r w:rsidRPr="00C31DE4">
        <w:rPr>
          <w:rFonts w:ascii="Times New Roman" w:hAnsi="Times New Roman" w:cs="Times New Roman"/>
          <w:bCs/>
          <w:iCs/>
        </w:rPr>
        <w:t>USA)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according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manufacturer’s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instructions.</w:t>
      </w:r>
    </w:p>
    <w:p w:rsidR="00C0022C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C31DE4">
        <w:rPr>
          <w:rFonts w:ascii="Times New Roman" w:hAnsi="Times New Roman" w:cs="Times New Roman"/>
          <w:b/>
          <w:bCs/>
        </w:rPr>
        <w:t>Pyruvate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ATP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content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Cs/>
          <w:iCs/>
        </w:rPr>
      </w:pP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pyruvate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concentration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skeletal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muscle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heart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determined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Sigma-Aldrich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according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manufacturer’s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instructions.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ATP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levels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mitochondria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skeletal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muscle,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heart,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liver,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kidney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measured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BioVision</w:t>
      </w:r>
      <w:r>
        <w:rPr>
          <w:rFonts w:ascii="Times New Roman" w:hAnsi="Times New Roman" w:cs="Times New Roman"/>
          <w:bCs/>
          <w:iCs/>
        </w:rPr>
        <w:t xml:space="preserve"> (</w:t>
      </w:r>
      <w:r>
        <w:rPr>
          <w:rFonts w:ascii="Times New Roman" w:eastAsia="MinionPro-Regular" w:hAnsi="Times New Roman" w:cs="Times New Roman"/>
        </w:rPr>
        <w:t>Cambridge, UK</w:t>
      </w:r>
      <w:r>
        <w:rPr>
          <w:rFonts w:ascii="Times New Roman" w:hAnsi="Times New Roman" w:cs="Times New Roman"/>
          <w:bCs/>
          <w:iCs/>
        </w:rPr>
        <w:t xml:space="preserve">) </w:t>
      </w:r>
      <w:r w:rsidRPr="00C31DE4">
        <w:rPr>
          <w:rFonts w:ascii="Times New Roman" w:hAnsi="Times New Roman" w:cs="Times New Roman"/>
          <w:bCs/>
          <w:iCs/>
        </w:rPr>
        <w:t>according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manufacturer’s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instructions.</w:t>
      </w:r>
    </w:p>
    <w:p w:rsidR="00C0022C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C31DE4">
        <w:rPr>
          <w:rFonts w:ascii="Times New Roman" w:hAnsi="Times New Roman" w:cs="Times New Roman"/>
          <w:b/>
          <w:bCs/>
        </w:rPr>
        <w:t>Mitochondrial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DNA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copy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number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</w:rPr>
      </w:pPr>
      <w:r w:rsidRPr="00C31DE4">
        <w:rPr>
          <w:rFonts w:ascii="Times New Roman" w:hAnsi="Times New Roman" w:cs="Times New Roman"/>
          <w:bCs/>
          <w:iCs/>
        </w:rPr>
        <w:t>Total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extracted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following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standard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phenol-chloroform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method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mammalian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genomic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DNA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extraction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(Beyotime,</w:t>
      </w:r>
      <w:r>
        <w:rPr>
          <w:rFonts w:ascii="Times New Roman" w:hAnsi="Times New Roman" w:cs="Times New Roman"/>
          <w:bCs/>
          <w:iCs/>
        </w:rPr>
        <w:t xml:space="preserve"> Beijing, </w:t>
      </w:r>
      <w:r w:rsidRPr="00C31DE4">
        <w:rPr>
          <w:rFonts w:ascii="Times New Roman" w:hAnsi="Times New Roman" w:cs="Times New Roman"/>
          <w:bCs/>
          <w:iCs/>
        </w:rPr>
        <w:t>China)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according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manufacturer’s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instructions.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mitochondrial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DNA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copy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number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determined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comparing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levels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mitochondrial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nuclear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DNA.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expression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levels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16s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ribosomal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(rRNA)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18s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rRNA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estimate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mitochondrial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nuclear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levels,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respectively.</w:t>
      </w:r>
    </w:p>
    <w:p w:rsidR="00C0022C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C31DE4">
        <w:rPr>
          <w:rFonts w:ascii="Times New Roman" w:hAnsi="Times New Roman" w:cs="Times New Roman"/>
          <w:b/>
          <w:bCs/>
        </w:rPr>
        <w:t>Quantitative</w:t>
      </w:r>
      <w:r>
        <w:rPr>
          <w:rFonts w:ascii="Times New Roman" w:hAnsi="Times New Roman" w:cs="Times New Roman"/>
          <w:b/>
          <w:bCs/>
        </w:rPr>
        <w:t xml:space="preserve"> r</w:t>
      </w:r>
      <w:r w:rsidRPr="00C31DE4">
        <w:rPr>
          <w:rFonts w:ascii="Times New Roman" w:hAnsi="Times New Roman" w:cs="Times New Roman"/>
          <w:b/>
          <w:bCs/>
        </w:rPr>
        <w:t>eal-</w:t>
      </w:r>
      <w:r>
        <w:rPr>
          <w:rFonts w:ascii="Times New Roman" w:hAnsi="Times New Roman" w:cs="Times New Roman"/>
          <w:b/>
          <w:bCs/>
        </w:rPr>
        <w:t>t</w:t>
      </w:r>
      <w:r w:rsidRPr="00C31DE4">
        <w:rPr>
          <w:rFonts w:ascii="Times New Roman" w:hAnsi="Times New Roman" w:cs="Times New Roman"/>
          <w:b/>
          <w:bCs/>
        </w:rPr>
        <w:t>ime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PCR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</w:rPr>
      </w:pPr>
      <w:r w:rsidRPr="00C31DE4">
        <w:rPr>
          <w:rFonts w:ascii="Times New Roman" w:hAnsi="Times New Roman" w:cs="Times New Roman"/>
          <w:bCs/>
          <w:iCs/>
        </w:rPr>
        <w:t>Total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RNA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extracted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</w:t>
      </w:r>
      <w:r>
        <w:rPr>
          <w:rFonts w:ascii="Times New Roman" w:hAnsi="Times New Roman" w:cs="Times New Roman"/>
          <w:bCs/>
          <w:iCs/>
        </w:rPr>
        <w:t xml:space="preserve">RIzol </w:t>
      </w:r>
      <w:r w:rsidRPr="00C31DE4">
        <w:rPr>
          <w:rFonts w:ascii="Times New Roman" w:hAnsi="Times New Roman" w:cs="Times New Roman"/>
          <w:bCs/>
          <w:iCs/>
        </w:rPr>
        <w:t>reagent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(Invitrogen,</w:t>
      </w:r>
      <w:r>
        <w:rPr>
          <w:rFonts w:ascii="Times New Roman" w:hAnsi="Times New Roman" w:cs="Times New Roman"/>
          <w:bCs/>
          <w:iCs/>
        </w:rPr>
        <w:t xml:space="preserve"> Waltham, MA, </w:t>
      </w:r>
      <w:r w:rsidRPr="00C31DE4">
        <w:rPr>
          <w:rFonts w:ascii="Times New Roman" w:hAnsi="Times New Roman" w:cs="Times New Roman"/>
          <w:bCs/>
          <w:iCs/>
        </w:rPr>
        <w:t>USA),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cDNA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was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synthesized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using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reverse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transcriptase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(Takara,</w:t>
      </w:r>
      <w:r>
        <w:rPr>
          <w:rFonts w:ascii="Times New Roman" w:eastAsia="Arial Unicode MS" w:hAnsi="Times New Roman" w:cs="Times New Roman"/>
        </w:rPr>
        <w:t xml:space="preserve"> Shiga, </w:t>
      </w:r>
      <w:r w:rsidRPr="00C31DE4">
        <w:rPr>
          <w:rFonts w:ascii="Times New Roman" w:eastAsia="Arial Unicode MS" w:hAnsi="Times New Roman" w:cs="Times New Roman"/>
        </w:rPr>
        <w:t>Japan).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Real-time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PCR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performed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SYBR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Green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(Takara</w:t>
      </w:r>
      <w:r w:rsidRPr="00C31DE4">
        <w:rPr>
          <w:rFonts w:ascii="Times New Roman" w:eastAsia="Arial Unicode MS" w:hAnsi="Times New Roman" w:cs="Times New Roman"/>
        </w:rPr>
        <w:t>,</w:t>
      </w:r>
      <w:r>
        <w:rPr>
          <w:rFonts w:ascii="Times New Roman" w:eastAsia="Arial Unicode MS" w:hAnsi="Times New Roman" w:cs="Times New Roman"/>
        </w:rPr>
        <w:t xml:space="preserve"> Shiga, </w:t>
      </w:r>
      <w:r w:rsidRPr="00C31DE4">
        <w:rPr>
          <w:rFonts w:ascii="Times New Roman" w:eastAsia="Arial Unicode MS" w:hAnsi="Times New Roman" w:cs="Times New Roman"/>
        </w:rPr>
        <w:t>Japan</w:t>
      </w:r>
      <w:r w:rsidRPr="00C31DE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examine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relative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mRNA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levels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indicated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genes.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expression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18s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rRNA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internal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control.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primers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used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for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real-time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PCR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shown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</w:rPr>
        <w:t xml:space="preserve"> </w:t>
      </w:r>
      <w:r w:rsidRPr="00D42328">
        <w:rPr>
          <w:rFonts w:ascii="Times New Roman" w:hAnsi="Times New Roman" w:cs="Times New Roman"/>
        </w:rPr>
        <w:t>Supplementary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Table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1.</w:t>
      </w:r>
    </w:p>
    <w:p w:rsidR="00C0022C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C31DE4">
        <w:rPr>
          <w:rFonts w:ascii="Times New Roman" w:hAnsi="Times New Roman" w:cs="Times New Roman"/>
          <w:b/>
          <w:bCs/>
        </w:rPr>
        <w:t>Western</w:t>
      </w:r>
      <w:r>
        <w:rPr>
          <w:rFonts w:ascii="Times New Roman" w:hAnsi="Times New Roman" w:cs="Times New Roman"/>
          <w:b/>
          <w:bCs/>
        </w:rPr>
        <w:t xml:space="preserve"> b</w:t>
      </w:r>
      <w:r w:rsidRPr="00C31DE4">
        <w:rPr>
          <w:rFonts w:ascii="Times New Roman" w:hAnsi="Times New Roman" w:cs="Times New Roman"/>
          <w:b/>
          <w:bCs/>
        </w:rPr>
        <w:t>lotting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eastAsia="Arial Unicode MS" w:hAnsi="Times New Roman" w:cs="Times New Roman"/>
        </w:rPr>
      </w:pPr>
      <w:r w:rsidRPr="00C31DE4">
        <w:rPr>
          <w:rFonts w:ascii="Times New Roman" w:eastAsia="Arial Unicode MS" w:hAnsi="Times New Roman" w:cs="Times New Roman"/>
        </w:rPr>
        <w:lastRenderedPageBreak/>
        <w:t>Total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protein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was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extracted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using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radioimmunoprecipitation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assay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(RIPA)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buffer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containing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50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mM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Tris/HCl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(pH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7.4),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150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mM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NaCl,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1%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SDS,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0.1%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Triton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X-100,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0.5%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sodium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deoxycholate,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protease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inhibitor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cocktail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and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phosphatase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inhibitor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PhosSTOP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(Roche,</w:t>
      </w:r>
      <w:r>
        <w:rPr>
          <w:rFonts w:ascii="Times New Roman" w:eastAsia="Arial Unicode MS" w:hAnsi="Times New Roman" w:cs="Times New Roman"/>
        </w:rPr>
        <w:t xml:space="preserve"> Basil, Switzerland</w:t>
      </w:r>
      <w:r w:rsidRPr="00C31DE4">
        <w:rPr>
          <w:rFonts w:ascii="Times New Roman" w:eastAsia="Arial Unicode MS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homogenates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sonicated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centrifuged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12,000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</w:t>
      </w:r>
      <w:r w:rsidRPr="0053319A"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4</w:t>
      </w:r>
      <w:r w:rsidRPr="00C31DE4">
        <w:rPr>
          <w:rFonts w:ascii="Times New Roman" w:eastAsia="微软雅黑" w:hAnsi="Times New Roman" w:cs="Times New Roman"/>
        </w:rPr>
        <w:t>℃.</w:t>
      </w:r>
      <w:r>
        <w:rPr>
          <w:rFonts w:ascii="Times New Roman" w:eastAsia="微软雅黑" w:hAnsi="Times New Roman" w:cs="Times New Roman"/>
        </w:rPr>
        <w:t xml:space="preserve"> </w:t>
      </w:r>
      <w:r w:rsidRPr="00C31DE4">
        <w:rPr>
          <w:rFonts w:ascii="Times New Roman" w:eastAsia="微软雅黑" w:hAnsi="Times New Roman" w:cs="Times New Roman"/>
        </w:rPr>
        <w:t>Then,</w:t>
      </w:r>
      <w:r>
        <w:rPr>
          <w:rFonts w:ascii="Times New Roman" w:eastAsia="微软雅黑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the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supernatants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were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collected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for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western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blotting.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The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total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protein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concentration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was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measured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using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the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bicinchoninic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acid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(BCA)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method.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A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total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of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20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to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70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μg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of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protein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was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separated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by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SDS-PAGE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then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transferred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to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PVDF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membrane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(Millipore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Corporation,</w:t>
      </w:r>
      <w:r>
        <w:rPr>
          <w:rFonts w:ascii="Times New Roman" w:eastAsia="MinionPro-Regular" w:hAnsi="Times New Roman" w:cs="Times New Roman"/>
        </w:rPr>
        <w:t xml:space="preserve"> Burlington, MA, </w:t>
      </w:r>
      <w:r w:rsidRPr="00C31DE4">
        <w:rPr>
          <w:rFonts w:ascii="Times New Roman" w:eastAsia="MinionPro-Regular" w:hAnsi="Times New Roman" w:cs="Times New Roman"/>
        </w:rPr>
        <w:t>USA).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After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being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blocked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with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5%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bovine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serum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albumin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(BSA),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the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membranes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were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incubated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with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the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following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primary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antibodies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overnight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at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4°C: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anti-phosphor-</w:t>
      </w:r>
      <w:r w:rsidRPr="00C31DE4">
        <w:rPr>
          <w:rFonts w:ascii="Times New Roman" w:hAnsi="Times New Roman" w:cs="Times New Roman"/>
        </w:rPr>
        <w:t>cAMP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response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element–binding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protein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(CREB)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anti-CREB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(Cell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Signaling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Technology,</w:t>
      </w:r>
      <w:r>
        <w:rPr>
          <w:rFonts w:ascii="Times New Roman" w:eastAsia="MinionPro-Regular" w:hAnsi="Times New Roman" w:cs="Times New Roman"/>
        </w:rPr>
        <w:t xml:space="preserve"> Danvers, MA, </w:t>
      </w:r>
      <w:r w:rsidRPr="00C31DE4">
        <w:rPr>
          <w:rFonts w:ascii="Times New Roman" w:eastAsia="MinionPro-Regular" w:hAnsi="Times New Roman" w:cs="Times New Roman"/>
        </w:rPr>
        <w:t>USA),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anti-PGC1</w:t>
      </w:r>
      <w:r w:rsidRPr="00C31DE4">
        <w:rPr>
          <w:rFonts w:ascii="Cambria Math" w:eastAsia="MinionPro-Regular" w:hAnsi="Cambria Math" w:cs="Cambria Math"/>
        </w:rPr>
        <w:t>𝛼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anti-</w:t>
      </w:r>
      <w:r w:rsidRPr="00C31DE4">
        <w:rPr>
          <w:rFonts w:ascii="Times New Roman" w:hAnsi="Times New Roman" w:cs="Times New Roman"/>
        </w:rPr>
        <w:t>mitochondrial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transcription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factor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B1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</w:t>
      </w:r>
      <w:r w:rsidRPr="00C31DE4">
        <w:rPr>
          <w:rFonts w:ascii="Times New Roman" w:eastAsia="MinionPro-Regular" w:hAnsi="Times New Roman" w:cs="Times New Roman"/>
        </w:rPr>
        <w:t>TFB1M)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(Abcam,</w:t>
      </w:r>
      <w:r>
        <w:rPr>
          <w:rFonts w:ascii="Times New Roman" w:eastAsia="MinionPro-Regular" w:hAnsi="Times New Roman" w:cs="Times New Roman"/>
        </w:rPr>
        <w:t xml:space="preserve"> Cambridge, UK</w:t>
      </w:r>
      <w:r w:rsidRPr="00C31DE4">
        <w:rPr>
          <w:rFonts w:ascii="Times New Roman" w:eastAsia="MinionPro-Regular" w:hAnsi="Times New Roman" w:cs="Times New Roman"/>
        </w:rPr>
        <w:t>),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anti-β-Tubulin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(Sigma-Aldrich</w:t>
      </w:r>
      <w:r>
        <w:rPr>
          <w:rFonts w:ascii="Times New Roman" w:eastAsia="MinionPro-Regular" w:hAnsi="Times New Roman" w:cs="Times New Roman"/>
        </w:rPr>
        <w:t xml:space="preserve">, </w:t>
      </w:r>
      <w:r>
        <w:rPr>
          <w:rFonts w:ascii="Times New Roman" w:hAnsi="Times New Roman" w:cs="Times New Roman"/>
          <w:bCs/>
          <w:iCs/>
        </w:rPr>
        <w:t>St. Louis, MO, USA</w:t>
      </w:r>
      <w:r w:rsidRPr="00C31DE4">
        <w:rPr>
          <w:rFonts w:ascii="Times New Roman" w:eastAsia="MinionPro-Regular" w:hAnsi="Times New Roman" w:cs="Times New Roman"/>
        </w:rPr>
        <w:t>),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anti</w:t>
      </w:r>
      <w:r w:rsidRPr="00C31DE4">
        <w:rPr>
          <w:rFonts w:ascii="Times New Roman" w:hAnsi="Times New Roman" w:cs="Times New Roman"/>
        </w:rPr>
        <w:t>-phosphoenolpyruvate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carboxykinase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(Pepck</w:t>
      </w:r>
      <w:r>
        <w:rPr>
          <w:rFonts w:ascii="Times New Roman" w:eastAsia="MinionPro-Regular" w:hAnsi="Times New Roman" w:cs="Times New Roman"/>
        </w:rPr>
        <w:t xml:space="preserve">; </w:t>
      </w:r>
      <w:r w:rsidRPr="00C31DE4">
        <w:rPr>
          <w:rFonts w:ascii="Times New Roman" w:eastAsia="MinionPro-Regular" w:hAnsi="Times New Roman" w:cs="Times New Roman"/>
        </w:rPr>
        <w:t>Cell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Signaling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Technology</w:t>
      </w:r>
      <w:r>
        <w:rPr>
          <w:rFonts w:ascii="Times New Roman" w:eastAsia="MinionPro-Regular" w:hAnsi="Times New Roman" w:cs="Times New Roman"/>
        </w:rPr>
        <w:t xml:space="preserve">, Danvers, MA, </w:t>
      </w:r>
      <w:r w:rsidRPr="00C31DE4">
        <w:rPr>
          <w:rFonts w:ascii="Times New Roman" w:eastAsia="MinionPro-Regular" w:hAnsi="Times New Roman" w:cs="Times New Roman"/>
        </w:rPr>
        <w:t>USA)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anti-</w:t>
      </w:r>
      <w:r w:rsidRPr="00C31DE4">
        <w:rPr>
          <w:rFonts w:ascii="Times New Roman" w:hAnsi="Times New Roman" w:cs="Times New Roman"/>
        </w:rPr>
        <w:t>glucose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6-phosphatase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(G6pase</w:t>
      </w:r>
      <w:r>
        <w:rPr>
          <w:rFonts w:ascii="Times New Roman" w:eastAsia="MinionPro-Regular" w:hAnsi="Times New Roman" w:cs="Times New Roman"/>
        </w:rPr>
        <w:t xml:space="preserve">; </w:t>
      </w:r>
      <w:r w:rsidRPr="00C31DE4">
        <w:rPr>
          <w:rFonts w:ascii="Times New Roman" w:eastAsia="MinionPro-Regular" w:hAnsi="Times New Roman" w:cs="Times New Roman"/>
        </w:rPr>
        <w:t>Sigma-Aldrich</w:t>
      </w:r>
      <w:r>
        <w:rPr>
          <w:rFonts w:ascii="Times New Roman" w:eastAsia="MinionPro-Regular" w:hAnsi="Times New Roman" w:cs="Times New Roman"/>
        </w:rPr>
        <w:t>,</w:t>
      </w:r>
      <w:r>
        <w:rPr>
          <w:rFonts w:ascii="Times New Roman" w:hAnsi="Times New Roman" w:cs="Times New Roman"/>
          <w:bCs/>
          <w:iCs/>
        </w:rPr>
        <w:t xml:space="preserve"> St. Louis, MO, USA</w:t>
      </w:r>
      <w:r w:rsidRPr="00C31DE4">
        <w:rPr>
          <w:rFonts w:ascii="Times New Roman" w:eastAsia="MinionPro-Regular" w:hAnsi="Times New Roman" w:cs="Times New Roman"/>
        </w:rPr>
        <w:t>).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Then,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the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membranes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were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incubated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with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an</w:t>
      </w:r>
      <w:r>
        <w:rPr>
          <w:rFonts w:ascii="Times New Roman" w:eastAsia="MinionPro-Regular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HRP-conjugated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secondary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antibody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(BBI,</w:t>
      </w:r>
      <w:r>
        <w:rPr>
          <w:rFonts w:ascii="Times New Roman" w:eastAsia="Arial Unicode MS" w:hAnsi="Times New Roman" w:cs="Times New Roman"/>
        </w:rPr>
        <w:t xml:space="preserve"> Shanghai, </w:t>
      </w:r>
      <w:r w:rsidRPr="00C31DE4">
        <w:rPr>
          <w:rFonts w:ascii="Times New Roman" w:eastAsia="Arial Unicode MS" w:hAnsi="Times New Roman" w:cs="Times New Roman"/>
        </w:rPr>
        <w:t>China),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and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the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immunoreactive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bands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were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visualized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using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the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ECL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reagent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(Advansta,</w:t>
      </w:r>
      <w:r>
        <w:rPr>
          <w:rFonts w:ascii="Times New Roman" w:eastAsia="Arial Unicode MS" w:hAnsi="Times New Roman" w:cs="Times New Roman"/>
        </w:rPr>
        <w:t xml:space="preserve"> San Jose, CA, </w:t>
      </w:r>
      <w:r w:rsidRPr="00C31DE4">
        <w:rPr>
          <w:rFonts w:ascii="Times New Roman" w:eastAsia="Arial Unicode MS" w:hAnsi="Times New Roman" w:cs="Times New Roman"/>
        </w:rPr>
        <w:t>USA)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to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analyze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protein</w:t>
      </w:r>
      <w:r>
        <w:rPr>
          <w:rFonts w:ascii="Times New Roman" w:eastAsia="Arial Unicode MS" w:hAnsi="Times New Roman" w:cs="Times New Roman"/>
        </w:rPr>
        <w:t xml:space="preserve"> </w:t>
      </w:r>
      <w:r w:rsidRPr="00C31DE4">
        <w:rPr>
          <w:rFonts w:ascii="Times New Roman" w:eastAsia="Arial Unicode MS" w:hAnsi="Times New Roman" w:cs="Times New Roman"/>
        </w:rPr>
        <w:t>expression.</w:t>
      </w:r>
    </w:p>
    <w:p w:rsidR="00C0022C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C31DE4">
        <w:rPr>
          <w:rFonts w:ascii="Times New Roman" w:hAnsi="Times New Roman" w:cs="Times New Roman"/>
          <w:b/>
          <w:bCs/>
        </w:rPr>
        <w:t>Periodic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acid-Schiff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staining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immunohistochemistry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</w:rPr>
      </w:pPr>
      <w:r w:rsidRPr="00C31DE4">
        <w:rPr>
          <w:rFonts w:ascii="Times New Roman" w:hAnsi="Times New Roman" w:cs="Times New Roman"/>
          <w:bCs/>
          <w:iCs/>
        </w:rPr>
        <w:t>Skeletal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muscle,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heart,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liver,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kidney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tissues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obtained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from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mice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were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fixed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4%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paraformaldehyde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(PFA),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embedded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paraffin,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and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sliced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4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µm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sections.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Then,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periodic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acid-Schiff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(PAS)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staining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was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performed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following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manufacturer’s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instructions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(Beijing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Leagene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Biotechnology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Co.,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Ltd,</w:t>
      </w:r>
      <w:r>
        <w:rPr>
          <w:rFonts w:ascii="Times New Roman" w:hAnsi="Times New Roman" w:cs="Times New Roman"/>
          <w:bCs/>
          <w:iCs/>
        </w:rPr>
        <w:t xml:space="preserve"> Beijing, </w:t>
      </w:r>
      <w:r w:rsidRPr="00C31DE4">
        <w:rPr>
          <w:rFonts w:ascii="Times New Roman" w:hAnsi="Times New Roman" w:cs="Times New Roman"/>
          <w:bCs/>
          <w:iCs/>
        </w:rPr>
        <w:t>China)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to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determine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glycogen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content.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Simultaneously,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deparaffinized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liver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kidney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tissue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sections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stained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primary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antibodies: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anti-Pepck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(Cell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Signaling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Technology</w:t>
      </w:r>
      <w:r>
        <w:rPr>
          <w:rFonts w:ascii="Times New Roman" w:eastAsia="MinionPro-Regular" w:hAnsi="Times New Roman" w:cs="Times New Roman"/>
        </w:rPr>
        <w:t xml:space="preserve">, Danvers, MA, </w:t>
      </w:r>
      <w:r w:rsidRPr="00C31DE4">
        <w:rPr>
          <w:rFonts w:ascii="Times New Roman" w:eastAsia="MinionPro-Regular" w:hAnsi="Times New Roman" w:cs="Times New Roman"/>
        </w:rPr>
        <w:t>USA</w:t>
      </w:r>
      <w:r w:rsidRPr="00C31DE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anti-</w:t>
      </w:r>
      <w:r w:rsidRPr="00C31DE4">
        <w:rPr>
          <w:rFonts w:ascii="Times New Roman" w:eastAsia="MinionPro-Regular" w:hAnsi="Times New Roman" w:cs="Times New Roman"/>
        </w:rPr>
        <w:t>G6pase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(Sigma-Aldrich</w:t>
      </w:r>
      <w:r>
        <w:rPr>
          <w:rFonts w:ascii="Times New Roman" w:eastAsia="MinionPro-Regular" w:hAnsi="Times New Roman" w:cs="Times New Roman"/>
        </w:rPr>
        <w:t>,</w:t>
      </w:r>
      <w:r>
        <w:rPr>
          <w:rFonts w:ascii="Times New Roman" w:hAnsi="Times New Roman" w:cs="Times New Roman"/>
          <w:bCs/>
          <w:iCs/>
        </w:rPr>
        <w:t xml:space="preserve"> St. Louis, MO, USA</w:t>
      </w:r>
      <w:r w:rsidRPr="00C31DE4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Next,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samples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incubated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biotinylated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lastRenderedPageBreak/>
        <w:t>secondary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antibodies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overnight.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Detection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proteins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based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formation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avidin-biotin-HRP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complex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(Thermo</w:t>
      </w:r>
      <w:r>
        <w:rPr>
          <w:rFonts w:ascii="Times New Roman" w:hAnsi="Times New Roman" w:cs="Times New Roman"/>
        </w:rPr>
        <w:t xml:space="preserve"> Fisher S</w:t>
      </w:r>
      <w:r w:rsidRPr="00C31DE4">
        <w:rPr>
          <w:rFonts w:ascii="Times New Roman" w:hAnsi="Times New Roman" w:cs="Times New Roman"/>
        </w:rPr>
        <w:t>cientific,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Fremont,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CA),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di-aminobenzidine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utilized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chromogen.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Nuclei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counterstained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hematoxylin.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sums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integrated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optical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density,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is,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area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sum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glycogen,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Pepck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eastAsia="MinionPro-Regular" w:hAnsi="Times New Roman" w:cs="Times New Roman"/>
        </w:rPr>
        <w:t>G6pase</w:t>
      </w:r>
      <w:r w:rsidRPr="00C31D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quantified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Image-Pro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Plus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software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version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7.0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(Media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  <w:bCs/>
          <w:iCs/>
        </w:rPr>
        <w:t>Cybernetics</w:t>
      </w:r>
      <w:r>
        <w:rPr>
          <w:rFonts w:ascii="Times New Roman" w:hAnsi="Times New Roman" w:cs="Times New Roman"/>
          <w:bCs/>
          <w:iCs/>
        </w:rPr>
        <w:t xml:space="preserve">, Rockville, MD, </w:t>
      </w:r>
      <w:r w:rsidRPr="00C31DE4">
        <w:rPr>
          <w:rFonts w:ascii="Times New Roman" w:hAnsi="Times New Roman" w:cs="Times New Roman"/>
          <w:bCs/>
          <w:iCs/>
        </w:rPr>
        <w:t>USA),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mean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density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calculated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based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upon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integrated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optical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density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sum/area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sum.</w:t>
      </w:r>
    </w:p>
    <w:p w:rsidR="00C0022C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C31DE4">
        <w:rPr>
          <w:rFonts w:ascii="Times New Roman" w:hAnsi="Times New Roman" w:cs="Times New Roman"/>
          <w:b/>
          <w:bCs/>
        </w:rPr>
        <w:t>RNA</w:t>
      </w:r>
      <w:r>
        <w:rPr>
          <w:rFonts w:ascii="Times New Roman" w:hAnsi="Times New Roman" w:cs="Times New Roman"/>
          <w:b/>
          <w:bCs/>
        </w:rPr>
        <w:t xml:space="preserve"> </w:t>
      </w:r>
      <w:r w:rsidRPr="00C31DE4">
        <w:rPr>
          <w:rFonts w:ascii="Times New Roman" w:hAnsi="Times New Roman" w:cs="Times New Roman"/>
          <w:b/>
          <w:bCs/>
        </w:rPr>
        <w:t>sequencing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</w:rPr>
      </w:pPr>
      <w:r w:rsidRPr="00C31DE4">
        <w:rPr>
          <w:rFonts w:ascii="Times New Roman" w:hAnsi="Times New Roman" w:cs="Times New Roman"/>
        </w:rPr>
        <w:t>Total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RNA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TDF-treated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control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skeletal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muscle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tissue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isolated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TRIzol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(Invitrogen</w:t>
      </w:r>
      <w:r>
        <w:rPr>
          <w:rFonts w:ascii="Times New Roman" w:hAnsi="Times New Roman" w:cs="Times New Roman"/>
        </w:rPr>
        <w:t xml:space="preserve">, </w:t>
      </w:r>
      <w:r w:rsidRPr="00C31DE4">
        <w:rPr>
          <w:rFonts w:ascii="Times New Roman" w:hAnsi="Times New Roman" w:cs="Times New Roman"/>
        </w:rPr>
        <w:t>Fremont,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CA),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then,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mRNA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subjected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whole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transcriptome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sequencing,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previously </w:t>
      </w:r>
      <w:r w:rsidRPr="00C31DE4">
        <w:rPr>
          <w:rFonts w:ascii="Times New Roman" w:hAnsi="Times New Roman" w:cs="Times New Roman"/>
        </w:rPr>
        <w:t>described.</w:t>
      </w:r>
      <w:r w:rsidRPr="00C31DE4">
        <w:rPr>
          <w:rFonts w:ascii="Times New Roman" w:hAnsi="Times New Roman" w:cs="Times New Roman"/>
          <w:noProof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Briefly,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differential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gene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expression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analyzed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EdgeR.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adjusted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values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computed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Benjamini–Hochburg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method.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threshold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screen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upregulated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downregulated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mRNAs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fold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padj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0.05.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sequencing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performed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Beijing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Genomic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Institute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Shenzhen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(BGI-Shenzhen,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Shenzhen,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China).</w:t>
      </w:r>
    </w:p>
    <w:p w:rsidR="00C0022C" w:rsidRDefault="00C0022C" w:rsidP="00C0022C">
      <w:pPr>
        <w:autoSpaceDE w:val="0"/>
        <w:autoSpaceDN w:val="0"/>
        <w:adjustRightInd w:val="0"/>
        <w:spacing w:line="480" w:lineRule="auto"/>
        <w:contextualSpacing/>
        <w:rPr>
          <w:rFonts w:ascii="Times New Roman" w:hAnsi="Times New Roman" w:cs="Times New Roman"/>
        </w:rPr>
      </w:pPr>
    </w:p>
    <w:p w:rsidR="00C0022C" w:rsidRPr="00C31DE4" w:rsidRDefault="00C0022C" w:rsidP="00C0022C">
      <w:pPr>
        <w:autoSpaceDE w:val="0"/>
        <w:autoSpaceDN w:val="0"/>
        <w:adjustRightInd w:val="0"/>
        <w:spacing w:line="480" w:lineRule="auto"/>
        <w:contextualSpacing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C31DE4">
        <w:rPr>
          <w:rFonts w:ascii="Times New Roman" w:hAnsi="Times New Roman" w:cs="Times New Roman"/>
        </w:rPr>
        <w:t>lucose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energy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metabolism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pathway</w:t>
      </w:r>
      <w:r>
        <w:rPr>
          <w:rFonts w:ascii="Times New Roman" w:hAnsi="Times New Roman" w:cs="Times New Roman"/>
        </w:rPr>
        <w:t xml:space="preserve">s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identified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PathCards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pathway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database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(http://pathcards.genecards.org).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differentially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expressed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genes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(DEGs)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pathway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heat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map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generated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Heml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version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1.0.3.7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software.</w:t>
      </w:r>
    </w:p>
    <w:p w:rsidR="00C0022C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  <w:b/>
          <w:bCs/>
        </w:rPr>
      </w:pPr>
      <w:r w:rsidRPr="00C31DE4">
        <w:rPr>
          <w:rFonts w:ascii="Times New Roman" w:hAnsi="Times New Roman" w:cs="Times New Roman"/>
          <w:b/>
          <w:bCs/>
        </w:rPr>
        <w:t>Statistics</w:t>
      </w:r>
    </w:p>
    <w:p w:rsidR="00C0022C" w:rsidRPr="00C31DE4" w:rsidRDefault="00C0022C" w:rsidP="00C0022C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C31DE4">
        <w:rPr>
          <w:rFonts w:ascii="Times New Roman" w:hAnsi="Times New Roman" w:cs="Times New Roman"/>
        </w:rPr>
        <w:t>esults</w:t>
      </w:r>
      <w:r>
        <w:rPr>
          <w:rFonts w:ascii="Times New Roman" w:hAnsi="Times New Roman" w:cs="Times New Roman"/>
        </w:rPr>
        <w:t xml:space="preserve"> were </w:t>
      </w:r>
      <w:r w:rsidRPr="00C31DE4">
        <w:rPr>
          <w:rFonts w:ascii="Times New Roman" w:hAnsi="Times New Roman" w:cs="Times New Roman"/>
        </w:rPr>
        <w:t>expressed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mean</w:t>
      </w:r>
      <w:r>
        <w:rPr>
          <w:rFonts w:ascii="Times New Roman" w:hAnsi="Times New Roman" w:cs="Times New Roman"/>
        </w:rPr>
        <w:t xml:space="preserve">s </w:t>
      </w:r>
      <w:r w:rsidRPr="00C31DE4"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</w:rPr>
        <w:t xml:space="preserve"> standard error of the mean</w:t>
      </w:r>
      <w:r w:rsidRPr="00C31D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Normality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analyzed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Shapiro-Wilk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test.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shown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normally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distributed,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Student’s</w:t>
      </w:r>
      <w:r>
        <w:rPr>
          <w:rFonts w:ascii="Times New Roman" w:hAnsi="Times New Roman" w:cs="Times New Roman"/>
        </w:rPr>
        <w:t xml:space="preserve"> </w:t>
      </w:r>
      <w:r w:rsidRPr="0053319A">
        <w:rPr>
          <w:rFonts w:ascii="Times New Roman" w:hAnsi="Times New Roman" w:cs="Times New Roman"/>
          <w:i/>
          <w:iCs/>
        </w:rPr>
        <w:t>t</w:t>
      </w:r>
      <w:r w:rsidRPr="00C31DE4">
        <w:rPr>
          <w:rFonts w:ascii="Times New Roman" w:hAnsi="Times New Roman" w:cs="Times New Roman"/>
        </w:rPr>
        <w:t>-test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analyze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statistical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significance;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otherwise,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non-parametric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test.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level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statistical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significance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set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p </w:t>
      </w:r>
      <w:r w:rsidRPr="00C31DE4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0.05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comparisons.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statistical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analyses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performed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IBM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SPSS,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version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20.0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(IBM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Corp.,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Armonk,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NY,</w:t>
      </w:r>
      <w:r>
        <w:rPr>
          <w:rFonts w:ascii="Times New Roman" w:hAnsi="Times New Roman" w:cs="Times New Roman"/>
        </w:rPr>
        <w:t xml:space="preserve"> </w:t>
      </w:r>
      <w:r w:rsidRPr="00C31DE4">
        <w:rPr>
          <w:rFonts w:ascii="Times New Roman" w:hAnsi="Times New Roman" w:cs="Times New Roman"/>
        </w:rPr>
        <w:t>USA).</w:t>
      </w:r>
      <w:bookmarkEnd w:id="0"/>
      <w:bookmarkEnd w:id="1"/>
    </w:p>
    <w:p w:rsidR="00C0022C" w:rsidRDefault="00C0022C" w:rsidP="00C0022C">
      <w:pPr>
        <w:spacing w:line="480" w:lineRule="auto"/>
        <w:contextualSpacing/>
        <w:rPr>
          <w:rFonts w:ascii="Times New Roman" w:eastAsia="宋体" w:hAnsi="Times New Roman" w:cs="Times New Roman"/>
          <w:b/>
          <w:bCs/>
        </w:rPr>
      </w:pPr>
    </w:p>
    <w:p w:rsidR="00C0022C" w:rsidRPr="00C31DE4" w:rsidRDefault="00C0022C" w:rsidP="00C0022C">
      <w:pPr>
        <w:spacing w:line="480" w:lineRule="auto"/>
        <w:contextualSpacing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References</w:t>
      </w:r>
    </w:p>
    <w:p w:rsidR="00C0022C" w:rsidRPr="00C31DE4" w:rsidRDefault="00C0022C" w:rsidP="00C0022C">
      <w:pPr>
        <w:pStyle w:val="EndNoteBibliography"/>
        <w:spacing w:line="480" w:lineRule="auto"/>
        <w:ind w:left="420" w:hanging="420"/>
        <w:contextualSpacing/>
        <w:rPr>
          <w:rFonts w:ascii="Times New Roman" w:hAnsi="Times New Roman" w:cs="Times New Roman"/>
          <w:sz w:val="22"/>
        </w:rPr>
      </w:pPr>
      <w:r w:rsidRPr="00C31DE4">
        <w:rPr>
          <w:rFonts w:ascii="Times New Roman" w:hAnsi="Times New Roman" w:cs="Times New Roman"/>
          <w:sz w:val="22"/>
        </w:rPr>
        <w:t>[1]</w:t>
      </w:r>
      <w:r w:rsidRPr="00C31DE4">
        <w:rPr>
          <w:rFonts w:ascii="Times New Roman" w:hAnsi="Times New Roman" w:cs="Times New Roman"/>
          <w:sz w:val="22"/>
        </w:rPr>
        <w:tab/>
        <w:t>Reagan-Shaw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Nihal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Ahmad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N.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Dose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translation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from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animal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to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human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studies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revisited.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Faseb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j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2008;22:659-661.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doi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10.1096/fj.07-9574LSF.</w:t>
      </w:r>
    </w:p>
    <w:p w:rsidR="00C0022C" w:rsidRPr="00C31DE4" w:rsidRDefault="00C0022C" w:rsidP="00C0022C">
      <w:pPr>
        <w:pStyle w:val="EndNoteBibliography"/>
        <w:spacing w:line="480" w:lineRule="auto"/>
        <w:ind w:left="420" w:hanging="420"/>
        <w:contextualSpacing/>
        <w:rPr>
          <w:rFonts w:ascii="Times New Roman" w:hAnsi="Times New Roman" w:cs="Times New Roman"/>
          <w:sz w:val="22"/>
        </w:rPr>
      </w:pPr>
      <w:r w:rsidRPr="00C31DE4">
        <w:rPr>
          <w:rFonts w:ascii="Times New Roman" w:hAnsi="Times New Roman" w:cs="Times New Roman"/>
          <w:sz w:val="22"/>
        </w:rPr>
        <w:t>[2]</w:t>
      </w:r>
      <w:r w:rsidRPr="00C31DE4">
        <w:rPr>
          <w:rFonts w:ascii="Times New Roman" w:hAnsi="Times New Roman" w:cs="Times New Roman"/>
          <w:sz w:val="22"/>
        </w:rPr>
        <w:tab/>
        <w:t>Eran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H,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Chao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W,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He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H,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Manisha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Eleen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Mohammed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</w:t>
      </w:r>
      <w:r w:rsidRPr="00C31DE4">
        <w:rPr>
          <w:rFonts w:ascii="Times New Roman" w:hAnsi="Times New Roman" w:cs="Times New Roman"/>
          <w:i/>
          <w:sz w:val="22"/>
        </w:rPr>
        <w:t>,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C31DE4">
        <w:rPr>
          <w:rFonts w:ascii="Times New Roman" w:hAnsi="Times New Roman" w:cs="Times New Roman"/>
          <w:i/>
          <w:sz w:val="22"/>
        </w:rPr>
        <w:t>et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C31DE4">
        <w:rPr>
          <w:rFonts w:ascii="Times New Roman" w:hAnsi="Times New Roman" w:cs="Times New Roman"/>
          <w:i/>
          <w:sz w:val="22"/>
        </w:rPr>
        <w:t>al.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Transmission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of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chimeric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HIV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by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mating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in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conventional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mice: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prevention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by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pre-exposure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antiretroviral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therapy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and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reduced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susceptibility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during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estrus.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Disease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Models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&amp;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Mechanisms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2013;6:1292-1298.</w:t>
      </w:r>
    </w:p>
    <w:p w:rsidR="00C0022C" w:rsidRPr="00C31DE4" w:rsidRDefault="00C0022C" w:rsidP="00C0022C">
      <w:pPr>
        <w:pStyle w:val="EndNoteBibliography"/>
        <w:spacing w:line="480" w:lineRule="auto"/>
        <w:ind w:left="420" w:hanging="420"/>
        <w:contextualSpacing/>
        <w:rPr>
          <w:rFonts w:ascii="Times New Roman" w:hAnsi="Times New Roman" w:cs="Times New Roman"/>
          <w:sz w:val="22"/>
        </w:rPr>
      </w:pPr>
      <w:r w:rsidRPr="00C31DE4">
        <w:rPr>
          <w:rFonts w:ascii="Times New Roman" w:hAnsi="Times New Roman" w:cs="Times New Roman"/>
          <w:sz w:val="22"/>
        </w:rPr>
        <w:t>[3]</w:t>
      </w:r>
      <w:r w:rsidRPr="00C31DE4">
        <w:rPr>
          <w:rFonts w:ascii="Times New Roman" w:hAnsi="Times New Roman" w:cs="Times New Roman"/>
          <w:sz w:val="22"/>
        </w:rPr>
        <w:tab/>
        <w:t>Wang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Z,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Wang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Han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Wang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N,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Mo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F,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Loo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TY</w:t>
      </w:r>
      <w:r w:rsidRPr="00C31DE4">
        <w:rPr>
          <w:rFonts w:ascii="Times New Roman" w:hAnsi="Times New Roman" w:cs="Times New Roman"/>
          <w:i/>
          <w:sz w:val="22"/>
        </w:rPr>
        <w:t>,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C31DE4">
        <w:rPr>
          <w:rFonts w:ascii="Times New Roman" w:hAnsi="Times New Roman" w:cs="Times New Roman"/>
          <w:i/>
          <w:sz w:val="22"/>
        </w:rPr>
        <w:t>et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C31DE4">
        <w:rPr>
          <w:rFonts w:ascii="Times New Roman" w:hAnsi="Times New Roman" w:cs="Times New Roman"/>
          <w:i/>
          <w:sz w:val="22"/>
        </w:rPr>
        <w:t>al.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Bioactivity-guided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identification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and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cell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signaling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technology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to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delineate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the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lactate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dehydrogenase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inhibition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effects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of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Spatholobus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suberectus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on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breast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cancer.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PLoS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One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2013;8:e56631.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doi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10.1371/journal.pone.0056631.</w:t>
      </w:r>
    </w:p>
    <w:p w:rsidR="00C0022C" w:rsidRDefault="00C0022C" w:rsidP="00C0022C">
      <w:pPr>
        <w:pStyle w:val="EndNoteBibliography"/>
        <w:spacing w:line="480" w:lineRule="auto"/>
        <w:ind w:left="420" w:hanging="420"/>
        <w:contextualSpacing/>
        <w:rPr>
          <w:rFonts w:ascii="Times New Roman" w:hAnsi="Times New Roman" w:cs="Times New Roman"/>
          <w:sz w:val="22"/>
        </w:rPr>
      </w:pPr>
      <w:r w:rsidRPr="00C31DE4">
        <w:rPr>
          <w:rFonts w:ascii="Times New Roman" w:hAnsi="Times New Roman" w:cs="Times New Roman"/>
          <w:sz w:val="22"/>
        </w:rPr>
        <w:t>[4]</w:t>
      </w:r>
      <w:r w:rsidRPr="00C31DE4">
        <w:rPr>
          <w:rFonts w:ascii="Times New Roman" w:hAnsi="Times New Roman" w:cs="Times New Roman"/>
          <w:sz w:val="22"/>
        </w:rPr>
        <w:tab/>
        <w:t>Ding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K,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Wu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Ying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W,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Pan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Q,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Li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X,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Zhao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D</w:t>
      </w:r>
      <w:r w:rsidRPr="00C31DE4">
        <w:rPr>
          <w:rFonts w:ascii="Times New Roman" w:hAnsi="Times New Roman" w:cs="Times New Roman"/>
          <w:i/>
          <w:sz w:val="22"/>
        </w:rPr>
        <w:t>,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C31DE4">
        <w:rPr>
          <w:rFonts w:ascii="Times New Roman" w:hAnsi="Times New Roman" w:cs="Times New Roman"/>
          <w:i/>
          <w:sz w:val="22"/>
        </w:rPr>
        <w:t>et</w:t>
      </w:r>
      <w:r>
        <w:rPr>
          <w:rFonts w:ascii="Times New Roman" w:hAnsi="Times New Roman" w:cs="Times New Roman"/>
          <w:i/>
          <w:sz w:val="22"/>
        </w:rPr>
        <w:t xml:space="preserve"> </w:t>
      </w:r>
      <w:r w:rsidRPr="00C31DE4">
        <w:rPr>
          <w:rFonts w:ascii="Times New Roman" w:hAnsi="Times New Roman" w:cs="Times New Roman"/>
          <w:i/>
          <w:sz w:val="22"/>
        </w:rPr>
        <w:t>al.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Leveraging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Multi-Omics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Strategy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for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Prioritizing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Personalized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Candidate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Mutation-Driver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Genes: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A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Proof-of-Concept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Study.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Scientific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Reports</w:t>
      </w:r>
      <w:r>
        <w:rPr>
          <w:rFonts w:ascii="Times New Roman" w:hAnsi="Times New Roman" w:cs="Times New Roman"/>
          <w:sz w:val="22"/>
        </w:rPr>
        <w:t xml:space="preserve"> </w:t>
      </w:r>
      <w:r w:rsidRPr="00C31DE4">
        <w:rPr>
          <w:rFonts w:ascii="Times New Roman" w:hAnsi="Times New Roman" w:cs="Times New Roman"/>
          <w:sz w:val="22"/>
        </w:rPr>
        <w:t>2015;5:17564.</w:t>
      </w:r>
    </w:p>
    <w:p w:rsidR="00C0022C" w:rsidRPr="00D42328" w:rsidRDefault="00C0022C" w:rsidP="00C0022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br w:type="page"/>
      </w:r>
    </w:p>
    <w:p w:rsidR="007D035D" w:rsidRDefault="007D035D"/>
    <w:p w:rsidR="00E84F7D" w:rsidRDefault="00E84F7D"/>
    <w:p w:rsidR="00E84F7D" w:rsidRPr="00C31DE4" w:rsidRDefault="00E84F7D" w:rsidP="00E84F7D">
      <w:pPr>
        <w:spacing w:line="480" w:lineRule="auto"/>
        <w:contextualSpacing/>
        <w:rPr>
          <w:rFonts w:ascii="Times New Roman" w:hAnsi="Times New Roman" w:cs="Times New Roman"/>
          <w:b/>
        </w:rPr>
      </w:pPr>
      <w:r w:rsidRPr="00C31DE4">
        <w:rPr>
          <w:rFonts w:ascii="Times New Roman" w:hAnsi="Times New Roman" w:cs="Times New Roman"/>
          <w:b/>
        </w:rPr>
        <w:t xml:space="preserve">Supplementary Table 1. </w:t>
      </w:r>
      <w:r>
        <w:rPr>
          <w:rFonts w:ascii="Times New Roman" w:hAnsi="Times New Roman" w:cs="Times New Roman"/>
          <w:b/>
        </w:rPr>
        <w:t>P</w:t>
      </w:r>
      <w:r w:rsidRPr="00C31DE4">
        <w:rPr>
          <w:rFonts w:ascii="Times New Roman" w:hAnsi="Times New Roman" w:cs="Times New Roman"/>
          <w:b/>
        </w:rPr>
        <w:t xml:space="preserve">rimers </w:t>
      </w:r>
      <w:r>
        <w:rPr>
          <w:rFonts w:ascii="Times New Roman" w:hAnsi="Times New Roman" w:cs="Times New Roman"/>
          <w:b/>
        </w:rPr>
        <w:t xml:space="preserve">used </w:t>
      </w:r>
      <w:r w:rsidRPr="00C31DE4">
        <w:rPr>
          <w:rFonts w:ascii="Times New Roman" w:hAnsi="Times New Roman" w:cs="Times New Roman"/>
          <w:b/>
        </w:rPr>
        <w:t>in this study for real-time PCR</w:t>
      </w:r>
    </w:p>
    <w:tbl>
      <w:tblPr>
        <w:tblW w:w="8923" w:type="dxa"/>
        <w:tblLook w:val="04A0"/>
      </w:tblPr>
      <w:tblGrid>
        <w:gridCol w:w="1560"/>
        <w:gridCol w:w="3675"/>
        <w:gridCol w:w="3688"/>
      </w:tblGrid>
      <w:tr w:rsidR="00E84F7D" w:rsidRPr="00AE0881" w:rsidTr="00856DB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AE0881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  <w:b/>
                <w:bCs/>
              </w:rPr>
            </w:pPr>
            <w:r w:rsidRPr="00AE0881">
              <w:rPr>
                <w:rFonts w:ascii="Times New Roman" w:eastAsia="宋体" w:hAnsi="Times New Roman" w:cs="Times New Roman"/>
                <w:b/>
                <w:bCs/>
              </w:rPr>
              <w:t>Primer name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AE0881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  <w:b/>
                <w:bCs/>
              </w:rPr>
            </w:pPr>
            <w:r w:rsidRPr="00AE0881">
              <w:rPr>
                <w:rFonts w:ascii="Times New Roman" w:eastAsia="宋体" w:hAnsi="Times New Roman" w:cs="Times New Roman"/>
                <w:b/>
                <w:bCs/>
              </w:rPr>
              <w:t xml:space="preserve">Forward </w:t>
            </w:r>
            <w:r>
              <w:rPr>
                <w:rFonts w:ascii="Times New Roman" w:eastAsia="宋体" w:hAnsi="Times New Roman" w:cs="Times New Roman"/>
                <w:b/>
                <w:bCs/>
              </w:rPr>
              <w:t>p</w:t>
            </w:r>
            <w:r w:rsidRPr="00AE0881">
              <w:rPr>
                <w:rFonts w:ascii="Times New Roman" w:eastAsia="宋体" w:hAnsi="Times New Roman" w:cs="Times New Roman"/>
                <w:b/>
                <w:bCs/>
              </w:rPr>
              <w:t>rimer (5</w:t>
            </w:r>
            <w:r>
              <w:rPr>
                <w:rFonts w:ascii="Times New Roman" w:eastAsia="宋体" w:hAnsi="Times New Roman" w:cs="Times New Roman"/>
                <w:b/>
                <w:bCs/>
              </w:rPr>
              <w:t>′</w:t>
            </w:r>
            <w:r w:rsidRPr="00AE0881">
              <w:rPr>
                <w:rFonts w:ascii="Times New Roman" w:eastAsia="宋体" w:hAnsi="Times New Roman" w:cs="Times New Roman"/>
                <w:b/>
                <w:bCs/>
              </w:rPr>
              <w:t>–3</w:t>
            </w:r>
            <w:r>
              <w:rPr>
                <w:rFonts w:ascii="Times New Roman" w:eastAsia="宋体" w:hAnsi="Times New Roman" w:cs="Times New Roman"/>
                <w:b/>
                <w:bCs/>
              </w:rPr>
              <w:t>′</w:t>
            </w:r>
            <w:r w:rsidRPr="00AE0881">
              <w:rPr>
                <w:rFonts w:ascii="Times New Roman" w:eastAsia="宋体" w:hAnsi="Times New Roman" w:cs="Times New Roman"/>
                <w:b/>
                <w:bCs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AE0881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  <w:b/>
                <w:bCs/>
              </w:rPr>
            </w:pPr>
            <w:r w:rsidRPr="00AE0881">
              <w:rPr>
                <w:rFonts w:ascii="Times New Roman" w:eastAsia="宋体" w:hAnsi="Times New Roman" w:cs="Times New Roman"/>
                <w:b/>
                <w:bCs/>
              </w:rPr>
              <w:t xml:space="preserve">Reverse </w:t>
            </w:r>
            <w:r>
              <w:rPr>
                <w:rFonts w:ascii="Times New Roman" w:eastAsia="宋体" w:hAnsi="Times New Roman" w:cs="Times New Roman"/>
                <w:b/>
                <w:bCs/>
              </w:rPr>
              <w:t>p</w:t>
            </w:r>
            <w:r w:rsidRPr="00AE0881">
              <w:rPr>
                <w:rFonts w:ascii="Times New Roman" w:eastAsia="宋体" w:hAnsi="Times New Roman" w:cs="Times New Roman"/>
                <w:b/>
                <w:bCs/>
              </w:rPr>
              <w:t>rimer (5</w:t>
            </w:r>
            <w:r>
              <w:rPr>
                <w:rFonts w:ascii="Times New Roman" w:eastAsia="宋体" w:hAnsi="Times New Roman" w:cs="Times New Roman"/>
                <w:b/>
                <w:bCs/>
              </w:rPr>
              <w:t>′</w:t>
            </w:r>
            <w:r w:rsidRPr="00AE0881">
              <w:rPr>
                <w:rFonts w:ascii="Times New Roman" w:eastAsia="宋体" w:hAnsi="Times New Roman" w:cs="Times New Roman"/>
                <w:b/>
                <w:bCs/>
              </w:rPr>
              <w:t>–3</w:t>
            </w:r>
            <w:r>
              <w:rPr>
                <w:rFonts w:ascii="Times New Roman" w:eastAsia="宋体" w:hAnsi="Times New Roman" w:cs="Times New Roman"/>
                <w:b/>
                <w:bCs/>
              </w:rPr>
              <w:t>′</w:t>
            </w:r>
            <w:r w:rsidRPr="00AE0881">
              <w:rPr>
                <w:rFonts w:ascii="Times New Roman" w:eastAsia="宋体" w:hAnsi="Times New Roman" w:cs="Times New Roman"/>
                <w:b/>
                <w:bCs/>
              </w:rPr>
              <w:t>)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GLUT4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GTGACTGGAACACTGGTCCTA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CCAGCCACGTTGCATTGTAG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HK2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TGATCGCCTGCTTATTCACGG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AACCGCCTAGAAATCTCCAGA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PGI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TCAAGCTGCGCGAACTTTTTG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GGTTCTTGGAGTAGTCCACCAG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PFK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TGTGGTCCGAGTTGGTATCT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GCACTTCCAATCACTGTGCC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ALDOA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CGTGTGAATCCCTGCATTGG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CAGCCCCTGGGTAGTTGTC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ENO3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CACAGCCAAGGGTCGATTCC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CCCAGGTATCGTGCTTTGTCT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PK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GCCGCCTGGACATTGACTC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CCATGAGAGAAATTCAGCCGAG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GAPDH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AATGGATTTGGACGCATTGGT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TTTGCACTGGTACGTGTTGAT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T</w:t>
            </w:r>
            <w:r w:rsidRPr="00C31DE4">
              <w:rPr>
                <w:rFonts w:ascii="Times New Roman" w:eastAsia="宋体" w:hAnsi="Times New Roman" w:cs="Times New Roman"/>
              </w:rPr>
              <w:t>FAM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ATTCCGAAGTGTTTTTCCAGCA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TCTGAAAGTTTTGCATCTGGGT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TFB1M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CGGGAGATCATTAAGTTGTTCGG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GCCCAGGACCCACTTCATAAA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T</w:t>
            </w:r>
            <w:r w:rsidRPr="00C31DE4">
              <w:rPr>
                <w:rFonts w:ascii="Times New Roman" w:eastAsia="宋体" w:hAnsi="Times New Roman" w:cs="Times New Roman"/>
              </w:rPr>
              <w:t>FB2M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GGCCCATCTTGCATTCTAGGG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CAGGCAACGGCTCTATATTGAAG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PGC1α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TATGGAGTGACATAGAGTGTGCT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GTCGCTACACCACTTCAATCC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CREB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AGCAGCTCATGCAACATCATC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AGTCCTTACAGGAAGACTGAACT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18S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AAACGGCTACCACATCCAAG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TTGCCCTCCAATGGATCCT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16S-copy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CCGCAAGGGAAAGATGAAAGAC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TCGTTTGGTTTCGGGGTTTC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18S copy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TGTGTTAGGGGACTGGTGGACA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CATCACCCACTTACCCCCAAAA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ACACB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CGCTCACCAACAGTAAGGTGG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GCTTGGCAGGGAGTTCCTC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P</w:t>
            </w:r>
            <w:r w:rsidRPr="00C31DE4">
              <w:rPr>
                <w:rFonts w:ascii="Times New Roman" w:eastAsia="宋体" w:hAnsi="Times New Roman" w:cs="Times New Roman"/>
              </w:rPr>
              <w:t>FKFB3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CCCAGAGCCGGGTACAGAA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GGGGAGTTGGTCAGCTTCG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U</w:t>
            </w:r>
            <w:r w:rsidRPr="00C31DE4">
              <w:rPr>
                <w:rFonts w:ascii="Times New Roman" w:eastAsia="宋体" w:hAnsi="Times New Roman" w:cs="Times New Roman"/>
              </w:rPr>
              <w:t>LK1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AAGTTCGAGTTCTCTCGCAAG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CGATGTTTTCGTGCTTTAGTTCC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A</w:t>
            </w:r>
            <w:r w:rsidRPr="00C31DE4">
              <w:rPr>
                <w:rFonts w:ascii="Times New Roman" w:eastAsia="宋体" w:hAnsi="Times New Roman" w:cs="Times New Roman"/>
              </w:rPr>
              <w:t>SPSCR1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TTCAACCCCAGTGAATACGACC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GCGATGCGAACTATGTTCTCAG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C</w:t>
            </w:r>
            <w:r w:rsidRPr="00C31DE4">
              <w:rPr>
                <w:rFonts w:ascii="Times New Roman" w:eastAsia="宋体" w:hAnsi="Times New Roman" w:cs="Times New Roman"/>
              </w:rPr>
              <w:t>RTC2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ATGAACCCTAACCCCCAAGAC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CGTTCTCCTCAATAGCAGGGA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lastRenderedPageBreak/>
              <w:t>E</w:t>
            </w:r>
            <w:r w:rsidRPr="00C31DE4">
              <w:rPr>
                <w:rFonts w:ascii="Times New Roman" w:eastAsia="宋体" w:hAnsi="Times New Roman" w:cs="Times New Roman"/>
              </w:rPr>
              <w:t>NO2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GTCCCTGGCCGTGTGTAAG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CATCCCGAAAGCTCTCAGC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C</w:t>
            </w:r>
            <w:r w:rsidRPr="00C31DE4">
              <w:rPr>
                <w:rFonts w:ascii="Times New Roman" w:eastAsia="宋体" w:hAnsi="Times New Roman" w:cs="Times New Roman"/>
              </w:rPr>
              <w:t>EBPD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CGACTTCAGCGCCTACATTGA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CTAGCGACAGACCCCACAC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I</w:t>
            </w:r>
            <w:r w:rsidRPr="00C31DE4">
              <w:rPr>
                <w:rFonts w:ascii="Times New Roman" w:eastAsia="宋体" w:hAnsi="Times New Roman" w:cs="Times New Roman"/>
              </w:rPr>
              <w:t>GFBP3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CCAGGAAACATCAGTGAGTCC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GGATGGAACTTGGAATCGGTCA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 w:hint="eastAsia"/>
              </w:rPr>
              <w:t>S</w:t>
            </w:r>
            <w:r w:rsidRPr="00C31DE4">
              <w:rPr>
                <w:rFonts w:ascii="Times New Roman" w:eastAsia="宋体" w:hAnsi="Times New Roman" w:cs="Times New Roman"/>
              </w:rPr>
              <w:t>TXBP4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ACTGCTTACCTTACGGGTGG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CTCTGGGACAGTCCTCTTCAC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IRS2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CTGCGTCCTCTCCCAAAGTG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GGGGTCATGGGCATGTAGC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MEF2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CAGGTGGTGGCAGTCTTGG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TGCTTATCCTTTGGGCATTCAA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ATF2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CCGTTGCTATTCCTGCATCAA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TTGCTTCTGACTGGACTGGTT</w:t>
            </w:r>
          </w:p>
        </w:tc>
      </w:tr>
      <w:tr w:rsidR="00E84F7D" w:rsidRPr="00C31DE4" w:rsidTr="00856DB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FoxO1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CCCAGGCCGGAGTTTAACC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4F7D" w:rsidRPr="00C31DE4" w:rsidRDefault="00E84F7D" w:rsidP="00856DBE">
            <w:pPr>
              <w:spacing w:line="480" w:lineRule="auto"/>
              <w:contextualSpacing/>
              <w:rPr>
                <w:rFonts w:ascii="Times New Roman" w:eastAsia="宋体" w:hAnsi="Times New Roman" w:cs="Times New Roman"/>
              </w:rPr>
            </w:pPr>
            <w:r w:rsidRPr="00C31DE4">
              <w:rPr>
                <w:rFonts w:ascii="Times New Roman" w:eastAsia="宋体" w:hAnsi="Times New Roman" w:cs="Times New Roman"/>
              </w:rPr>
              <w:t>GTTGCTCATAAAGTCGGTGCT</w:t>
            </w:r>
          </w:p>
        </w:tc>
      </w:tr>
    </w:tbl>
    <w:p w:rsidR="00E84F7D" w:rsidRDefault="00E84F7D" w:rsidP="00E84F7D">
      <w:pPr>
        <w:spacing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4F7D" w:rsidRPr="00AF2E64" w:rsidRDefault="00E84F7D" w:rsidP="00E84F7D"/>
    <w:p w:rsidR="00E84F7D" w:rsidRDefault="00E84F7D"/>
    <w:sectPr w:rsidR="00E84F7D" w:rsidSect="003950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nionPro-Regular">
    <w:altName w:val="Malgun Gothic Semilight"/>
    <w:panose1 w:val="02040503050306020203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03CA5"/>
    <w:multiLevelType w:val="hybridMultilevel"/>
    <w:tmpl w:val="50BEDA9A"/>
    <w:lvl w:ilvl="0" w:tplc="3C805B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32014D"/>
    <w:multiLevelType w:val="hybridMultilevel"/>
    <w:tmpl w:val="25B27CBE"/>
    <w:lvl w:ilvl="0" w:tplc="F5FC63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96547A0"/>
    <w:multiLevelType w:val="hybridMultilevel"/>
    <w:tmpl w:val="FBB878CA"/>
    <w:lvl w:ilvl="0" w:tplc="085E7BB0">
      <w:start w:val="1"/>
      <w:numFmt w:val="bullet"/>
      <w:lvlText w:val=""/>
      <w:lvlJc w:val="left"/>
      <w:pPr>
        <w:ind w:left="420" w:hanging="42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A16A01"/>
    <w:multiLevelType w:val="hybridMultilevel"/>
    <w:tmpl w:val="FA9CEC32"/>
    <w:lvl w:ilvl="0" w:tplc="085E7BB0">
      <w:start w:val="1"/>
      <w:numFmt w:val="bullet"/>
      <w:lvlText w:val=""/>
      <w:lvlJc w:val="left"/>
      <w:pPr>
        <w:ind w:left="420" w:hanging="42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E577688"/>
    <w:multiLevelType w:val="hybridMultilevel"/>
    <w:tmpl w:val="BF5829F0"/>
    <w:lvl w:ilvl="0" w:tplc="3DF2E0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7707300"/>
    <w:multiLevelType w:val="hybridMultilevel"/>
    <w:tmpl w:val="25BCE6BA"/>
    <w:lvl w:ilvl="0" w:tplc="085E7BB0">
      <w:start w:val="1"/>
      <w:numFmt w:val="bullet"/>
      <w:lvlText w:val=""/>
      <w:lvlJc w:val="left"/>
      <w:pPr>
        <w:ind w:left="420" w:hanging="42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FE589D"/>
    <w:multiLevelType w:val="hybridMultilevel"/>
    <w:tmpl w:val="3ABA6ECC"/>
    <w:lvl w:ilvl="0" w:tplc="72C8E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AEC132D"/>
    <w:multiLevelType w:val="hybridMultilevel"/>
    <w:tmpl w:val="14C66006"/>
    <w:lvl w:ilvl="0" w:tplc="21BA2E1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C0022C"/>
    <w:rsid w:val="002A33FC"/>
    <w:rsid w:val="003950E0"/>
    <w:rsid w:val="007D035D"/>
    <w:rsid w:val="00C0022C"/>
    <w:rsid w:val="00E84F7D"/>
    <w:rsid w:val="00FE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22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0022C"/>
    <w:rPr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0022C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0022C"/>
    <w:rPr>
      <w:kern w:val="2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C0022C"/>
    <w:rPr>
      <w:rFonts w:cs="Times New Roman"/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0022C"/>
    <w:pPr>
      <w:widowControl w:val="0"/>
      <w:spacing w:after="0" w:line="240" w:lineRule="auto"/>
      <w:jc w:val="center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locked/>
    <w:rsid w:val="00C0022C"/>
    <w:rPr>
      <w:rFonts w:ascii="Calibri" w:hAnsi="Calibri" w:cs="Calibri"/>
      <w:noProof/>
      <w:kern w:val="2"/>
      <w:sz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C0022C"/>
    <w:pPr>
      <w:widowControl w:val="0"/>
      <w:spacing w:after="0" w:line="240" w:lineRule="auto"/>
      <w:jc w:val="both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locked/>
    <w:rsid w:val="00C0022C"/>
    <w:rPr>
      <w:rFonts w:ascii="Calibri" w:hAnsi="Calibri" w:cs="Calibri"/>
      <w:noProof/>
      <w:kern w:val="2"/>
      <w:sz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2C"/>
    <w:pPr>
      <w:widowControl w:val="0"/>
      <w:spacing w:after="0" w:line="240" w:lineRule="auto"/>
    </w:pPr>
    <w:rPr>
      <w:rFonts w:ascii="Tahoma" w:hAnsi="Tahoma" w:cs="Tahoma"/>
      <w:kern w:val="2"/>
      <w:sz w:val="16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2C"/>
    <w:rPr>
      <w:rFonts w:ascii="Tahoma" w:hAnsi="Tahoma" w:cs="Tahoma"/>
      <w:kern w:val="2"/>
      <w:sz w:val="16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0022C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22C"/>
    <w:pPr>
      <w:widowControl w:val="0"/>
      <w:spacing w:after="0" w:line="240" w:lineRule="auto"/>
    </w:pPr>
    <w:rPr>
      <w:kern w:val="2"/>
      <w:sz w:val="21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22C"/>
    <w:rPr>
      <w:kern w:val="2"/>
      <w:sz w:val="2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22C"/>
    <w:rPr>
      <w:b/>
      <w:bCs/>
    </w:rPr>
  </w:style>
  <w:style w:type="paragraph" w:styleId="Revision">
    <w:name w:val="Revision"/>
    <w:hidden/>
    <w:uiPriority w:val="99"/>
    <w:semiHidden/>
    <w:rsid w:val="00C0022C"/>
    <w:pPr>
      <w:spacing w:after="0" w:line="240" w:lineRule="auto"/>
    </w:pPr>
    <w:rPr>
      <w:kern w:val="2"/>
      <w:sz w:val="21"/>
      <w:lang w:eastAsia="zh-CN"/>
    </w:rPr>
  </w:style>
  <w:style w:type="paragraph" w:styleId="ListParagraph">
    <w:name w:val="List Paragraph"/>
    <w:basedOn w:val="Normal"/>
    <w:uiPriority w:val="34"/>
    <w:qFormat/>
    <w:rsid w:val="00C0022C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022C"/>
    <w:pPr>
      <w:spacing w:after="0" w:line="240" w:lineRule="auto"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未处理的提及4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  <w:style w:type="character" w:customStyle="1" w:styleId="7">
    <w:name w:val="未处理的提及7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  <w:style w:type="character" w:customStyle="1" w:styleId="8">
    <w:name w:val="未处理的提及8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C0022C"/>
    <w:rPr>
      <w:rFonts w:cs="Times New Roman"/>
    </w:rPr>
  </w:style>
  <w:style w:type="character" w:customStyle="1" w:styleId="EndNoteBibliography0">
    <w:name w:val="EndNote Bibliography 字符"/>
    <w:basedOn w:val="DefaultParagraphFont"/>
    <w:rsid w:val="00C0022C"/>
    <w:rPr>
      <w:rFonts w:ascii="Calibri" w:hAnsi="Calibri" w:cs="Calibri"/>
      <w:noProof/>
      <w:sz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022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2023-02-01T01:14:00Z</dcterms:created>
  <dcterms:modified xsi:type="dcterms:W3CDTF">2023-02-01T02:36:00Z</dcterms:modified>
</cp:coreProperties>
</file>