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9B" w:rsidRDefault="00457A9B" w:rsidP="00457A9B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67200" cy="3200400"/>
            <wp:effectExtent l="0" t="0" r="0" b="0"/>
            <wp:docPr id="1181665110" name="图片 118166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65110" name="图片 11816651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9B" w:rsidRDefault="00457A9B" w:rsidP="00457A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Figure S7. Change in buried surface area (BSA) over simulation time</w:t>
      </w:r>
      <w:r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color w:val="000000"/>
          <w:sz w:val="24"/>
          <w:szCs w:val="24"/>
        </w:rPr>
        <w:t>CRP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 xml:space="preserve">Mt </w:t>
      </w:r>
      <w:r>
        <w:rPr>
          <w:rFonts w:ascii="Arial" w:hAnsi="Arial" w:cs="Arial"/>
          <w:color w:val="000000"/>
          <w:sz w:val="24"/>
          <w:szCs w:val="24"/>
        </w:rPr>
        <w:t xml:space="preserve">at normal conditions or control (at 25 </w:t>
      </w:r>
      <w:r>
        <w:rPr>
          <w:rFonts w:ascii="Arial" w:hAnsi="Arial" w:cs="Arial"/>
          <w:sz w:val="24"/>
          <w:szCs w:val="24"/>
        </w:rPr>
        <w:t>°C) versus higher temperature. BSA increases from 1325 (at the starting point) to 1578 Å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(end of simulation) for the protein dimer at native conditions (control at 25 °C in water). BSA increases from 1298 to 1552 Å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for the protein dimer at 45 °C and 1339 to 1845 Å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at 65 °C.</w:t>
      </w:r>
    </w:p>
    <w:p w:rsidR="00EF0C44" w:rsidRDefault="00EF0C44"/>
    <w:sectPr w:rsidR="00EF0C44" w:rsidSect="00C841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57A9B"/>
    <w:rsid w:val="00390F2B"/>
    <w:rsid w:val="00457A9B"/>
    <w:rsid w:val="00C84160"/>
    <w:rsid w:val="00E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2023-12-12T07:09:00Z</dcterms:created>
  <dcterms:modified xsi:type="dcterms:W3CDTF">2023-12-12T07:10:00Z</dcterms:modified>
</cp:coreProperties>
</file>