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C4" w:rsidRPr="008A1315" w:rsidRDefault="00321CC4" w:rsidP="00321CC4">
      <w:pPr>
        <w:rPr>
          <w:rFonts w:ascii="Times New Roman" w:hAnsi="Times New Roman" w:cs="Times New Roman"/>
          <w:noProof/>
        </w:rPr>
      </w:pPr>
    </w:p>
    <w:p w:rsidR="00321CC4" w:rsidRPr="008A1315" w:rsidRDefault="00321CC4" w:rsidP="00321CC4">
      <w:pPr>
        <w:rPr>
          <w:rFonts w:ascii="Times New Roman" w:hAnsi="Times New Roman" w:cs="Times New Roman"/>
          <w:noProof/>
        </w:rPr>
      </w:pPr>
    </w:p>
    <w:p w:rsidR="00321CC4" w:rsidRPr="008A1315" w:rsidRDefault="00321CC4" w:rsidP="00321CC4">
      <w:pPr>
        <w:rPr>
          <w:noProof/>
        </w:rPr>
      </w:pPr>
      <w:r>
        <w:rPr>
          <w:noProof/>
        </w:rPr>
        <w:drawing>
          <wp:inline distT="0" distB="0" distL="0" distR="0">
            <wp:extent cx="3333750" cy="3152775"/>
            <wp:effectExtent l="19050" t="0" r="0" b="0"/>
            <wp:docPr id="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CC4" w:rsidRPr="00AC4E73" w:rsidRDefault="00321CC4" w:rsidP="00321CC4">
      <w:pPr>
        <w:rPr>
          <w:noProof/>
        </w:rPr>
      </w:pPr>
    </w:p>
    <w:p w:rsidR="00321CC4" w:rsidRPr="00AC4E73" w:rsidRDefault="00321CC4" w:rsidP="00321CC4">
      <w:pPr>
        <w:spacing w:line="360" w:lineRule="auto"/>
        <w:rPr>
          <w:rFonts w:ascii="Times New Roman" w:eastAsia="宋体" w:hAnsi="Times New Roman" w:cs="Times New Roman"/>
        </w:rPr>
      </w:pPr>
      <w:r w:rsidRPr="00AC4E73">
        <w:rPr>
          <w:rFonts w:ascii="Times New Roman" w:eastAsia="宋体" w:hAnsi="Times New Roman" w:cs="Times New Roman"/>
          <w:b/>
          <w:bCs/>
        </w:rPr>
        <w:t>Supplementa</w:t>
      </w:r>
      <w:r>
        <w:rPr>
          <w:rFonts w:ascii="Times New Roman" w:eastAsia="宋体" w:hAnsi="Times New Roman" w:cs="Times New Roman"/>
          <w:b/>
          <w:bCs/>
        </w:rPr>
        <w:t>ry</w:t>
      </w:r>
      <w:r w:rsidRPr="00AC4E73">
        <w:rPr>
          <w:rFonts w:ascii="Times New Roman" w:eastAsia="宋体" w:hAnsi="Times New Roman" w:cs="Times New Roman"/>
          <w:b/>
          <w:bCs/>
        </w:rPr>
        <w:t xml:space="preserve"> Fig</w:t>
      </w:r>
      <w:r>
        <w:rPr>
          <w:rFonts w:ascii="Times New Roman" w:eastAsia="宋体" w:hAnsi="Times New Roman" w:cs="Times New Roman"/>
          <w:b/>
          <w:bCs/>
        </w:rPr>
        <w:t>.</w:t>
      </w:r>
      <w:r w:rsidRPr="00AC4E73">
        <w:rPr>
          <w:rFonts w:ascii="Times New Roman" w:eastAsia="宋体" w:hAnsi="Times New Roman" w:cs="Times New Roman"/>
          <w:b/>
          <w:bCs/>
        </w:rPr>
        <w:t xml:space="preserve"> 1</w:t>
      </w:r>
      <w:r w:rsidRPr="00AC4E73">
        <w:rPr>
          <w:rFonts w:ascii="Times New Roman" w:eastAsia="宋体" w:hAnsi="Times New Roman" w:cs="Times New Roman"/>
          <w:b/>
        </w:rPr>
        <w:t xml:space="preserve">. </w:t>
      </w:r>
      <w:r w:rsidRPr="00AC4E73">
        <w:rPr>
          <w:rFonts w:ascii="Times New Roman" w:eastAsia="宋体" w:hAnsi="Times New Roman" w:cs="Times New Roman"/>
          <w:b/>
          <w:bCs/>
        </w:rPr>
        <w:t>Cumulative rate of serum HBV DNA loss, HBeAg loss and seroconversion, HBsAg loss and seroconversion in the 32 CHB children after 36 months of antiviral treatment in treated group.</w:t>
      </w:r>
    </w:p>
    <w:p w:rsidR="00617D60" w:rsidRDefault="00617D60"/>
    <w:sectPr w:rsidR="00617D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20"/>
  <w:characterSpacingControl w:val="doNotCompress"/>
  <w:compat>
    <w:useFELayout/>
  </w:compat>
  <w:rsids>
    <w:rsidRoot w:val="00321CC4"/>
    <w:rsid w:val="00321CC4"/>
    <w:rsid w:val="0061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2023-03-25T23:21:00Z</dcterms:created>
  <dcterms:modified xsi:type="dcterms:W3CDTF">2023-03-25T23:21:00Z</dcterms:modified>
</cp:coreProperties>
</file>