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A6" w:rsidRPr="00526E0F" w:rsidRDefault="00325BA6" w:rsidP="00325BA6">
      <w:pPr>
        <w:snapToGri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526E0F">
        <w:rPr>
          <w:rFonts w:ascii="Times New Roman" w:hAnsi="Times New Roman" w:cs="Times New Roman"/>
          <w:b/>
          <w:bCs/>
        </w:rPr>
        <w:t>Supplementary Table 1.</w:t>
      </w:r>
      <w:proofErr w:type="gramEnd"/>
      <w:r w:rsidRPr="00526E0F">
        <w:rPr>
          <w:rFonts w:ascii="Times New Roman" w:hAnsi="Times New Roman" w:cs="Times New Roman"/>
          <w:b/>
          <w:bCs/>
        </w:rPr>
        <w:t xml:space="preserve"> The ICD-9-CM codes</w:t>
      </w:r>
    </w:p>
    <w:tbl>
      <w:tblPr>
        <w:tblStyle w:val="a3"/>
        <w:tblW w:w="97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70"/>
      </w:tblGrid>
      <w:tr w:rsidR="00325BA6" w:rsidRPr="00526E0F" w:rsidTr="00406423">
        <w:tc>
          <w:tcPr>
            <w:tcW w:w="4945" w:type="dxa"/>
            <w:tcBorders>
              <w:bottom w:val="single" w:sz="4" w:space="0" w:color="auto"/>
            </w:tcBorders>
          </w:tcPr>
          <w:p w:rsidR="00325BA6" w:rsidRPr="00526E0F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E0F">
              <w:rPr>
                <w:rFonts w:ascii="Times New Roman" w:hAnsi="Times New Roman" w:cs="Times New Roman"/>
                <w:b/>
                <w:bCs/>
              </w:rPr>
              <w:t>Variable/outcome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25BA6" w:rsidRPr="00526E0F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E0F">
              <w:rPr>
                <w:rFonts w:ascii="Times New Roman" w:hAnsi="Times New Roman" w:cs="Times New Roman"/>
                <w:b/>
                <w:bCs/>
              </w:rPr>
              <w:t>ICD-9 codes</w:t>
            </w:r>
          </w:p>
        </w:tc>
      </w:tr>
      <w:tr w:rsidR="00325BA6" w:rsidRPr="00CB3A27" w:rsidTr="00406423">
        <w:tc>
          <w:tcPr>
            <w:tcW w:w="4945" w:type="dxa"/>
            <w:tcBorders>
              <w:top w:val="single" w:sz="4" w:space="0" w:color="auto"/>
              <w:bottom w:val="nil"/>
            </w:tcBorders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Primary biliary cholangitis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auto"/>
              <w:bottom w:val="nil"/>
            </w:tcBorders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571.6</w:t>
            </w:r>
          </w:p>
        </w:tc>
      </w:tr>
      <w:tr w:rsidR="00325BA6" w:rsidRPr="00CB3A27" w:rsidTr="00406423">
        <w:tc>
          <w:tcPr>
            <w:tcW w:w="4945" w:type="dxa"/>
            <w:tcBorders>
              <w:top w:val="nil"/>
            </w:tcBorders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Autoimmune hepatitis</w:t>
            </w:r>
          </w:p>
        </w:tc>
        <w:tc>
          <w:tcPr>
            <w:tcW w:w="4770" w:type="dxa"/>
            <w:tcBorders>
              <w:top w:val="nil"/>
            </w:tcBorders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571.42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Hypercholesterolemia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272.0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Vitamin D deficiency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268.9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733.00-733.03, 733.09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3A27">
              <w:rPr>
                <w:rFonts w:ascii="Times New Roman" w:hAnsi="Times New Roman" w:cs="Times New Roman"/>
              </w:rPr>
              <w:t>Crohn’s</w:t>
            </w:r>
            <w:proofErr w:type="spellEnd"/>
            <w:r w:rsidRPr="00CB3A27">
              <w:rPr>
                <w:rFonts w:ascii="Times New Roman" w:hAnsi="Times New Roman" w:cs="Times New Roman"/>
              </w:rPr>
              <w:t xml:space="preserve"> disease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555.0, 555.1, 555.2, and 555.9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Ulcerative colitis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556.0, 556.1-556.6, 556.8, and 556.9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3A27">
              <w:rPr>
                <w:rFonts w:ascii="Times New Roman" w:hAnsi="Times New Roman" w:cs="Times New Roman"/>
              </w:rPr>
              <w:t>Sjögren’s</w:t>
            </w:r>
            <w:proofErr w:type="spellEnd"/>
            <w:r w:rsidRPr="00CB3A27">
              <w:rPr>
                <w:rFonts w:ascii="Times New Roman" w:hAnsi="Times New Roman" w:cs="Times New Roman"/>
              </w:rPr>
              <w:t xml:space="preserve"> syndrome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710.2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Systemic sclerosis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710.1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714.0-714.2, 714.4, 714.81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 xml:space="preserve">Systemic lupus </w:t>
            </w:r>
            <w:proofErr w:type="spellStart"/>
            <w:r w:rsidRPr="00CB3A27">
              <w:rPr>
                <w:rStyle w:val="s1"/>
                <w:rFonts w:ascii="Times New Roman" w:hAnsi="Times New Roman" w:cs="Times New Roman"/>
              </w:rPr>
              <w:t>erythematosus</w:t>
            </w:r>
            <w:proofErr w:type="spellEnd"/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710.0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Autoimmune thyroid disease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245.2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Psoriasis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696.0, 696.1, 696.8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Celiac disease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579.0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Non-dialysis dependent chronic kidney disease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585.1-585.5, 585.9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End-stage renal disease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585.6, 399.5, 549.8 and exclude 584.5-584.9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Ascites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789.51, 789.59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proofErr w:type="spellStart"/>
            <w:r w:rsidRPr="00CB3A27">
              <w:rPr>
                <w:rStyle w:val="s1"/>
                <w:rFonts w:ascii="Times New Roman" w:hAnsi="Times New Roman" w:cs="Times New Roman"/>
              </w:rPr>
              <w:t>Variceal</w:t>
            </w:r>
            <w:proofErr w:type="spellEnd"/>
            <w:r w:rsidRPr="00CB3A27">
              <w:rPr>
                <w:rStyle w:val="s1"/>
                <w:rFonts w:ascii="Times New Roman" w:hAnsi="Times New Roman" w:cs="Times New Roman"/>
              </w:rPr>
              <w:t xml:space="preserve"> bleeding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456.0, 456.20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Portal hypertension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572.3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Hepatic encephalopathy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572.2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proofErr w:type="spellStart"/>
            <w:r w:rsidRPr="00CB3A27">
              <w:rPr>
                <w:rStyle w:val="s1"/>
                <w:rFonts w:ascii="Times New Roman" w:hAnsi="Times New Roman" w:cs="Times New Roman"/>
              </w:rPr>
              <w:t>Hepatorenal</w:t>
            </w:r>
            <w:proofErr w:type="spellEnd"/>
            <w:r w:rsidRPr="00CB3A27">
              <w:rPr>
                <w:rStyle w:val="s1"/>
                <w:rFonts w:ascii="Times New Roman" w:hAnsi="Times New Roman" w:cs="Times New Roman"/>
              </w:rPr>
              <w:t xml:space="preserve"> syndrome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572.4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Spontaneous bacterial peritonitis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567.23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Septic shock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</w:rPr>
              <w:t>785.52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lastRenderedPageBreak/>
              <w:t>Respiratory failure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B3A27">
              <w:rPr>
                <w:rFonts w:ascii="Times New Roman" w:hAnsi="Times New Roman" w:cs="Times New Roman"/>
                <w:lang w:eastAsia="en-GB"/>
              </w:rPr>
              <w:t>518.81, 518.82, 518.84, and 799.1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9D2ED6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9D2ED6">
              <w:rPr>
                <w:rStyle w:val="s1"/>
                <w:rFonts w:ascii="Times New Roman" w:hAnsi="Times New Roman" w:cs="Times New Roman"/>
              </w:rPr>
              <w:t>ERCP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B3A27">
              <w:rPr>
                <w:rFonts w:ascii="Times New Roman" w:hAnsi="Times New Roman" w:cs="Times New Roman"/>
                <w:lang w:eastAsia="en-GB"/>
              </w:rPr>
              <w:t>511.0, 511.1, 521.3, 511.4, 521.4, 518.4-518.8, 529.3, 529.4, 529.7, 529.8</w:t>
            </w:r>
          </w:p>
        </w:tc>
      </w:tr>
      <w:tr w:rsidR="00325BA6" w:rsidRPr="00CB3A27" w:rsidTr="00406423">
        <w:tc>
          <w:tcPr>
            <w:tcW w:w="4945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Style w:val="s1"/>
                <w:rFonts w:ascii="Times New Roman" w:hAnsi="Times New Roman" w:cs="Times New Roman"/>
              </w:rPr>
            </w:pPr>
            <w:r w:rsidRPr="00CB3A27">
              <w:rPr>
                <w:rStyle w:val="s1"/>
                <w:rFonts w:ascii="Times New Roman" w:hAnsi="Times New Roman" w:cs="Times New Roman"/>
              </w:rPr>
              <w:t>Liver transplantation</w:t>
            </w:r>
          </w:p>
        </w:tc>
        <w:tc>
          <w:tcPr>
            <w:tcW w:w="4770" w:type="dxa"/>
          </w:tcPr>
          <w:p w:rsidR="00325BA6" w:rsidRPr="00CB3A27" w:rsidRDefault="00325BA6" w:rsidP="00406423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B3A27">
              <w:rPr>
                <w:rFonts w:ascii="Times New Roman" w:hAnsi="Times New Roman" w:cs="Times New Roman"/>
                <w:lang w:eastAsia="en-GB"/>
              </w:rPr>
              <w:t>V427</w:t>
            </w:r>
          </w:p>
        </w:tc>
      </w:tr>
    </w:tbl>
    <w:p w:rsidR="00FA1FD7" w:rsidRDefault="00FA1FD7"/>
    <w:sectPr w:rsidR="00FA1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6"/>
    <w:rsid w:val="00325BA6"/>
    <w:rsid w:val="00406423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A6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25BA6"/>
  </w:style>
  <w:style w:type="table" w:styleId="a3">
    <w:name w:val="Table Grid"/>
    <w:basedOn w:val="a1"/>
    <w:uiPriority w:val="39"/>
    <w:rsid w:val="00325BA6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A6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25BA6"/>
  </w:style>
  <w:style w:type="table" w:styleId="a3">
    <w:name w:val="Table Grid"/>
    <w:basedOn w:val="a1"/>
    <w:uiPriority w:val="39"/>
    <w:rsid w:val="00325BA6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2021-03-06T02:37:00Z</dcterms:created>
  <dcterms:modified xsi:type="dcterms:W3CDTF">2021-03-06T02:39:00Z</dcterms:modified>
</cp:coreProperties>
</file>