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C2" w:rsidRDefault="007C6BC2" w:rsidP="007C6BC2">
      <w:pPr>
        <w:adjustRightInd w:val="0"/>
        <w:snapToGrid w:val="0"/>
        <w:spacing w:line="480" w:lineRule="auto"/>
        <w:rPr>
          <w:rFonts w:ascii="Times New Roman" w:hAnsi="Times New Roman"/>
          <w:b/>
          <w:bCs/>
          <w:sz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hd w:val="clear" w:color="auto" w:fill="FFFFFF"/>
        </w:rPr>
        <w:t>Supplementary Materials</w:t>
      </w:r>
    </w:p>
    <w:p w:rsidR="007C6BC2" w:rsidRDefault="007C6BC2" w:rsidP="007C6BC2">
      <w:pPr>
        <w:adjustRightInd w:val="0"/>
        <w:snapToGrid w:val="0"/>
        <w:spacing w:line="480" w:lineRule="auto"/>
        <w:rPr>
          <w:rFonts w:ascii="Times New Roman" w:hAnsi="Times New Roman"/>
          <w:b/>
          <w:bCs/>
          <w:sz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hd w:val="clear" w:color="auto" w:fill="FFFFFF"/>
        </w:rPr>
        <w:t xml:space="preserve">Methods </w:t>
      </w:r>
    </w:p>
    <w:p w:rsidR="007C6BC2" w:rsidRDefault="007C6BC2" w:rsidP="007C6BC2">
      <w:pPr>
        <w:adjustRightInd w:val="0"/>
        <w:snapToGrid w:val="0"/>
        <w:spacing w:line="480" w:lineRule="auto"/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>Cell culture</w:t>
      </w:r>
    </w:p>
    <w:p w:rsidR="007C6BC2" w:rsidRDefault="007C6BC2" w:rsidP="007C6BC2">
      <w:pPr>
        <w:adjustRightInd w:val="0"/>
        <w:snapToGrid w:val="0"/>
        <w:spacing w:line="48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Human hepatoma cell lines HepG2 and HuH-7 were grown in Dulbecco's Modified Eagle Medium high-glucose medium (Sigma-Aldrich, St. Louis, MO, USA) supplemented with 10% fetal calf serum (PAN Biotech, Aidenbach, Germany). Cells were incubated at 37°C in a humified 5% CO</w:t>
      </w:r>
      <w:r>
        <w:rPr>
          <w:rFonts w:ascii="Times New Roman" w:hAnsi="Times New Roman"/>
          <w:sz w:val="24"/>
          <w:shd w:val="clear" w:color="auto" w:fill="FFFFFF"/>
          <w:vertAlign w:val="subscript"/>
        </w:rPr>
        <w:t>2</w:t>
      </w:r>
      <w:r>
        <w:rPr>
          <w:rFonts w:ascii="Times New Roman" w:hAnsi="Times New Roman"/>
          <w:sz w:val="24"/>
          <w:shd w:val="clear" w:color="auto" w:fill="FFFFFF"/>
        </w:rPr>
        <w:t xml:space="preserve"> atmosphere.</w:t>
      </w:r>
    </w:p>
    <w:p w:rsidR="007C6BC2" w:rsidRDefault="007C6BC2" w:rsidP="007C6BC2">
      <w:pPr>
        <w:adjustRightInd w:val="0"/>
        <w:snapToGrid w:val="0"/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7C6BC2" w:rsidRDefault="007C6BC2" w:rsidP="007C6BC2">
      <w:pPr>
        <w:adjustRightInd w:val="0"/>
        <w:snapToGrid w:val="0"/>
        <w:spacing w:line="480" w:lineRule="auto"/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>Cell fractionation and real-time PCR</w:t>
      </w:r>
    </w:p>
    <w:p w:rsidR="007C6BC2" w:rsidRDefault="007C6BC2" w:rsidP="007C6BC2">
      <w:pPr>
        <w:adjustRightInd w:val="0"/>
        <w:snapToGrid w:val="0"/>
        <w:spacing w:line="48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Total RNA was extracted from the cultured cells. Nuclear and cytoplasmic fractions were extracted using the Ambion® PARIS</w:t>
      </w:r>
      <w:r>
        <w:rPr>
          <w:rFonts w:ascii="Times New Roman" w:hAnsi="Times New Roman"/>
          <w:sz w:val="24"/>
          <w:shd w:val="clear" w:color="auto" w:fill="FFFFFF"/>
          <w:vertAlign w:val="superscript"/>
        </w:rPr>
        <w:t>TM</w:t>
      </w:r>
      <w:r>
        <w:rPr>
          <w:rFonts w:ascii="Times New Roman" w:hAnsi="Times New Roman"/>
          <w:sz w:val="24"/>
          <w:shd w:val="clear" w:color="auto" w:fill="FFFFFF"/>
        </w:rPr>
        <w:t xml:space="preserve"> kit (Thermo Fisher, Waltham, MA, USA), according to the manufacturer’s instructions. Reverse transcription of total RNA (1 </w:t>
      </w:r>
      <w:r>
        <w:rPr>
          <w:rFonts w:ascii="Times New Roman" w:eastAsia="微软雅黑" w:hAnsi="Times New Roman"/>
          <w:sz w:val="24"/>
          <w:shd w:val="clear" w:color="auto" w:fill="FFFFFF"/>
        </w:rPr>
        <w:t>µ</w:t>
      </w:r>
      <w:r>
        <w:rPr>
          <w:rFonts w:ascii="Times New Roman" w:hAnsi="Times New Roman"/>
          <w:sz w:val="24"/>
          <w:shd w:val="clear" w:color="auto" w:fill="FFFFFF"/>
        </w:rPr>
        <w:t>g) was performed with ReverTraAce qPCR RT Master Mix with gDNA Remover (Toyobo, Osaka, Japan). A portion of the resultant cDNA was subjected to quantitative LightCycler® 480 Real-Time PCR with LightCycler® 480 SYBR-Green I Master (Roche Diagnostics, Basel, Switzerland). The primer sequence</w:t>
      </w:r>
      <w:r>
        <w:rPr>
          <w:rFonts w:ascii="Times New Roman" w:hAnsi="Times New Roman" w:hint="eastAsia"/>
          <w:sz w:val="24"/>
          <w:shd w:val="clear" w:color="auto" w:fill="FFFFFF"/>
        </w:rPr>
        <w:t>s</w:t>
      </w:r>
      <w:r>
        <w:rPr>
          <w:rFonts w:ascii="Times New Roman" w:hAnsi="Times New Roman"/>
          <w:sz w:val="24"/>
          <w:shd w:val="clear" w:color="auto" w:fill="FFFFFF"/>
        </w:rPr>
        <w:t xml:space="preserve"> were: SNHG4 forward primer 5´-CAGGTGACAGTCTGCATGTG-3´ and SNHG4 reverse primer 5´-TGGGACCTACATGACAAGAAGA-3´.</w:t>
      </w:r>
    </w:p>
    <w:p w:rsidR="007C6BC2" w:rsidRDefault="007C6BC2" w:rsidP="007C6BC2">
      <w:pPr>
        <w:adjustRightInd w:val="0"/>
        <w:snapToGrid w:val="0"/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7C6BC2" w:rsidRDefault="007C6BC2" w:rsidP="007C6BC2">
      <w:pPr>
        <w:adjustRightInd w:val="0"/>
        <w:snapToGrid w:val="0"/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7C6BC2" w:rsidRDefault="007C6BC2" w:rsidP="007C6BC2">
      <w:pPr>
        <w:adjustRightInd w:val="0"/>
        <w:snapToGrid w:val="0"/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7C6BC2" w:rsidRDefault="007C6BC2" w:rsidP="007C6BC2">
      <w:pPr>
        <w:adjustRightInd w:val="0"/>
        <w:snapToGrid w:val="0"/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7C6BC2" w:rsidRDefault="007C6BC2" w:rsidP="007C6BC2">
      <w:pPr>
        <w:adjustRightInd w:val="0"/>
        <w:snapToGrid w:val="0"/>
        <w:spacing w:line="480" w:lineRule="auto"/>
        <w:rPr>
          <w:rFonts w:ascii="Times New Roman" w:hAnsi="Times New Roman" w:hint="eastAsia"/>
          <w:sz w:val="24"/>
          <w:shd w:val="clear" w:color="auto" w:fill="FFFFFF"/>
        </w:rPr>
      </w:pPr>
    </w:p>
    <w:p w:rsidR="007C6BC2" w:rsidRDefault="007C6BC2" w:rsidP="007C6BC2">
      <w:pPr>
        <w:adjustRightInd w:val="0"/>
        <w:snapToGrid w:val="0"/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7C6BC2" w:rsidRDefault="007C6BC2" w:rsidP="007C6BC2">
      <w:pPr>
        <w:adjustRightInd w:val="0"/>
        <w:snapToGrid w:val="0"/>
        <w:spacing w:line="480" w:lineRule="auto"/>
        <w:jc w:val="center"/>
        <w:rPr>
          <w:rFonts w:ascii="Times New Roman" w:hAnsi="Times New Roman"/>
          <w:sz w:val="24"/>
          <w:shd w:val="clear" w:color="auto" w:fill="FFFFFF"/>
        </w:rPr>
      </w:pPr>
    </w:p>
    <w:p w:rsidR="005F26DB" w:rsidRDefault="005F26DB"/>
    <w:sectPr w:rsidR="005F26DB">
      <w:pgSz w:w="11906" w:h="16838"/>
      <w:pgMar w:top="1440" w:right="1440" w:bottom="1440" w:left="1440" w:header="850" w:footer="99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FELayout/>
  </w:compat>
  <w:rsids>
    <w:rsidRoot w:val="007C6BC2"/>
    <w:rsid w:val="005F26DB"/>
    <w:rsid w:val="007C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2021-06-26T22:23:00Z</dcterms:created>
  <dcterms:modified xsi:type="dcterms:W3CDTF">2021-06-26T22:23:00Z</dcterms:modified>
</cp:coreProperties>
</file>