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60D7" w14:textId="77777777" w:rsidR="003E10C8" w:rsidRPr="00770E55" w:rsidRDefault="003E10C8" w:rsidP="003E10C8">
      <w:pPr>
        <w:jc w:val="both"/>
      </w:pPr>
    </w:p>
    <w:p w14:paraId="0EDDF698" w14:textId="77777777" w:rsidR="003E10C8" w:rsidRPr="00770E55" w:rsidRDefault="003E10C8" w:rsidP="003E10C8">
      <w:pPr>
        <w:jc w:val="both"/>
        <w:rPr>
          <w:b/>
          <w:bCs/>
          <w:sz w:val="32"/>
          <w:szCs w:val="32"/>
        </w:rPr>
      </w:pPr>
    </w:p>
    <w:p w14:paraId="7449DA91" w14:textId="77777777" w:rsidR="003E10C8" w:rsidRPr="00770E55" w:rsidRDefault="003E10C8" w:rsidP="003E10C8">
      <w:pPr>
        <w:pStyle w:val="Heading3"/>
      </w:pPr>
      <w:r>
        <w:t xml:space="preserve">Supplementary Table </w:t>
      </w:r>
      <w:r w:rsidRPr="00770E55">
        <w:t>3</w:t>
      </w:r>
      <w:r w:rsidRPr="00770E55">
        <w:rPr>
          <w:rFonts w:hint="eastAsia"/>
        </w:rPr>
        <w:t xml:space="preserve">. </w:t>
      </w:r>
      <w:r w:rsidRPr="00770E55">
        <w:t>Baseline characteristics of lung adenocarcinoma patients in both the TCGA and OncoSG datasets</w:t>
      </w:r>
    </w:p>
    <w:tbl>
      <w:tblPr>
        <w:tblW w:w="12325" w:type="dxa"/>
        <w:tblLook w:val="04A0" w:firstRow="1" w:lastRow="0" w:firstColumn="1" w:lastColumn="0" w:noHBand="0" w:noVBand="1"/>
      </w:tblPr>
      <w:tblGrid>
        <w:gridCol w:w="1478"/>
        <w:gridCol w:w="1822"/>
        <w:gridCol w:w="719"/>
        <w:gridCol w:w="746"/>
        <w:gridCol w:w="707"/>
        <w:gridCol w:w="823"/>
        <w:gridCol w:w="707"/>
        <w:gridCol w:w="777"/>
        <w:gridCol w:w="739"/>
        <w:gridCol w:w="837"/>
        <w:gridCol w:w="707"/>
        <w:gridCol w:w="733"/>
        <w:gridCol w:w="707"/>
        <w:gridCol w:w="823"/>
      </w:tblGrid>
      <w:tr w:rsidR="003E10C8" w:rsidRPr="00770E55" w14:paraId="7A094821" w14:textId="77777777" w:rsidTr="00F90EB1">
        <w:trPr>
          <w:trHeight w:val="485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D31A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Lung Adenocarcinoma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71FA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TCGA</w:t>
            </w: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3C0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OncoSG</w:t>
            </w:r>
          </w:p>
        </w:tc>
      </w:tr>
      <w:tr w:rsidR="003E10C8" w:rsidRPr="00770E55" w14:paraId="0A777029" w14:textId="77777777" w:rsidTr="00F90EB1">
        <w:trPr>
          <w:trHeight w:val="1020"/>
        </w:trPr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22A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Feature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B6CD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Value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07F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DECEASED      n=74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6D9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LIVING</w:t>
            </w:r>
          </w:p>
          <w:p w14:paraId="1189382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n=212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8C9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  <w:p w14:paraId="7F8CD8E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n=286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757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DECEASED     n=42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8A4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LIVING    n=125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D88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  <w:p w14:paraId="753B995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n=167</w:t>
            </w:r>
          </w:p>
        </w:tc>
      </w:tr>
      <w:tr w:rsidR="003E10C8" w:rsidRPr="00770E55" w14:paraId="5CA4A0C9" w14:textId="77777777" w:rsidTr="00F90EB1">
        <w:trPr>
          <w:trHeight w:val="404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939D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A2C9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CE1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1BD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0E9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2CE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720B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00A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55D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Count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225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8DB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Count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CBB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33AA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Count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D6A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</w:tr>
      <w:tr w:rsidR="003E10C8" w:rsidRPr="00770E55" w14:paraId="0A902A0C" w14:textId="77777777" w:rsidTr="00F90EB1">
        <w:trPr>
          <w:trHeight w:val="288"/>
        </w:trPr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9151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C810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CF1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EDC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41.89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195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B38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42.92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2C2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FC7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42.66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131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1E5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54.76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BAC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AB8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333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5817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44.91</w:t>
            </w:r>
          </w:p>
        </w:tc>
      </w:tr>
      <w:tr w:rsidR="003E10C8" w:rsidRPr="00770E55" w14:paraId="047AB496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D0F8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64B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49D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7DB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58.11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98F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5B3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57.08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755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906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57.34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8F2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623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45.24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28D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037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F49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5BE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55.09</w:t>
            </w:r>
          </w:p>
        </w:tc>
      </w:tr>
      <w:tr w:rsidR="003E10C8" w:rsidRPr="00770E55" w14:paraId="4EC0837D" w14:textId="77777777" w:rsidTr="00F90EB1">
        <w:trPr>
          <w:trHeight w:val="288"/>
        </w:trPr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E9CE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55E3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&lt;=60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A4A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930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24.32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163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1FA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35.38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33C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E0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32.52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6E7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67E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4F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E5B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142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A7C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33.53</w:t>
            </w:r>
          </w:p>
        </w:tc>
      </w:tr>
      <w:tr w:rsidR="003E10C8" w:rsidRPr="00770E55" w14:paraId="44D967C1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3876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EFD7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61-72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F74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29E7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501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860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40.09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B3A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A91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41.96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E9B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219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42.86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9CE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330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00C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3BE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47.90</w:t>
            </w:r>
          </w:p>
        </w:tc>
      </w:tr>
      <w:tr w:rsidR="003E10C8" w:rsidRPr="00770E55" w14:paraId="4E4BC948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2D5B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D886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&gt;72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45B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C6A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28.38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103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EB6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24.53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08A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112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25.52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377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2EE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23.81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9AE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3AA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118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1B4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20"/>
                <w:szCs w:val="20"/>
              </w:rPr>
              <w:t>18.56</w:t>
            </w:r>
          </w:p>
        </w:tc>
      </w:tr>
      <w:tr w:rsidR="003E10C8" w:rsidRPr="00770E55" w14:paraId="5D3BEFBD" w14:textId="77777777" w:rsidTr="00F90EB1">
        <w:trPr>
          <w:trHeight w:val="288"/>
        </w:trPr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B73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TMB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37BC" w14:textId="77777777" w:rsidR="003E10C8" w:rsidRPr="00770E55" w:rsidRDefault="003E10C8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Low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&lt; 6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175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471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51.35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B7F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556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365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7C9A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45.45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1297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0DAE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85.71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FA7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D7A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91E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524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90.42</w:t>
            </w:r>
          </w:p>
        </w:tc>
      </w:tr>
      <w:tr w:rsidR="003E10C8" w:rsidRPr="00770E55" w14:paraId="0383B6EA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1B39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3352" w14:textId="77777777" w:rsidR="003E10C8" w:rsidRPr="00770E55" w:rsidRDefault="003E10C8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Intermediate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6–19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B3E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242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31.08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ACB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31E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41.98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B4E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907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39.16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954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5DD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0E6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E8A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E56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48C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7.78</w:t>
            </w:r>
          </w:p>
        </w:tc>
      </w:tr>
      <w:tr w:rsidR="003E10C8" w:rsidRPr="00770E55" w14:paraId="12D4E7E2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E088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C414" w14:textId="77777777" w:rsidR="003E10C8" w:rsidRPr="00770E55" w:rsidRDefault="003E10C8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High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20–39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2B1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2C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14.86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3A5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E63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9.91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25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759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11.19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7DD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869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AD7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A12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E0E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3E6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1.80</w:t>
            </w:r>
          </w:p>
        </w:tc>
      </w:tr>
      <w:tr w:rsidR="003E10C8" w:rsidRPr="00770E55" w14:paraId="2F09537C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803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CA55" w14:textId="77777777" w:rsidR="003E10C8" w:rsidRPr="00770E55" w:rsidRDefault="003E10C8" w:rsidP="00F90EB1">
            <w:pPr>
              <w:spacing w:after="0" w:line="240" w:lineRule="auto"/>
              <w:rPr>
                <w:rFonts w:ascii="Aptos Narrow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Very High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≥ 40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DE0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2A8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6C4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4F0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4.72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E58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4CA7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4.196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9B6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A3B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93C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B79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2F1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362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3E10C8" w:rsidRPr="00770E55" w14:paraId="1390DE1B" w14:textId="77777777" w:rsidTr="00F90EB1">
        <w:trPr>
          <w:trHeight w:val="288"/>
        </w:trPr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48E8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TUMOR_STAGE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4F50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85F7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4B6A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16E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276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D2A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B6B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66.78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BCE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D07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40.48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AB6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C61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158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074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61.08</w:t>
            </w:r>
          </w:p>
        </w:tc>
      </w:tr>
      <w:tr w:rsidR="003E10C8" w:rsidRPr="00770E55" w14:paraId="4D8F075C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7013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6091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887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5B3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836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F81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52C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082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23.08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05E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301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21.43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6479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E51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9C4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7D1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17.96</w:t>
            </w:r>
          </w:p>
        </w:tc>
      </w:tr>
      <w:tr w:rsidR="003E10C8" w:rsidRPr="00770E55" w14:paraId="351B5CCF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3CE0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18CC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III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FF2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A97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8DC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AFF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5D17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045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10.14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2DEE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409BB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30.95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637F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707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14.4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7E58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D76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18.56</w:t>
            </w:r>
          </w:p>
        </w:tc>
      </w:tr>
      <w:tr w:rsidR="003E10C8" w:rsidRPr="00770E55" w14:paraId="1220945C" w14:textId="77777777" w:rsidTr="00F90EB1">
        <w:trPr>
          <w:trHeight w:val="288"/>
        </w:trPr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505B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A720" w14:textId="77777777" w:rsidR="003E10C8" w:rsidRPr="00770E55" w:rsidRDefault="003E10C8" w:rsidP="00F90EB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STAGE IV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3809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A11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BCF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A3D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9E8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A3A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E184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4B3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7.14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252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E3CC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8E8A5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CC20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2.40</w:t>
            </w:r>
          </w:p>
        </w:tc>
      </w:tr>
      <w:tr w:rsidR="003E10C8" w:rsidRPr="00770E55" w14:paraId="170EADB8" w14:textId="77777777" w:rsidTr="00F90EB1">
        <w:trPr>
          <w:trHeight w:val="540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851C3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NUMBER OF GENES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54C22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20,518</w:t>
            </w: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60DD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18,783</w:t>
            </w:r>
          </w:p>
        </w:tc>
      </w:tr>
      <w:tr w:rsidR="003E10C8" w:rsidRPr="00770E55" w14:paraId="58CB761F" w14:textId="77777777" w:rsidTr="00F90EB1">
        <w:trPr>
          <w:trHeight w:val="516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1E7F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NUMBER OF SHARED GENES 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BFE1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16,196 (78.94%)</w:t>
            </w: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2176" w14:textId="77777777" w:rsidR="003E10C8" w:rsidRPr="00770E55" w:rsidRDefault="003E10C8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16,196 (86.23%)</w:t>
            </w:r>
          </w:p>
        </w:tc>
      </w:tr>
    </w:tbl>
    <w:p w14:paraId="107F5D54" w14:textId="77777777" w:rsidR="003E10C8" w:rsidRPr="00770E55" w:rsidRDefault="003E10C8" w:rsidP="003E10C8">
      <w:r w:rsidRPr="00770E55">
        <w:t>OncoSG (Oncology Singapore)</w:t>
      </w:r>
      <w:r w:rsidRPr="00770E55">
        <w:rPr>
          <w:rFonts w:hint="eastAsia"/>
        </w:rPr>
        <w:t xml:space="preserve">; </w:t>
      </w:r>
      <w:r w:rsidRPr="00770E55">
        <w:t>TCGA, The Cancer Genome Atlas; TMB, tumor mutational burden</w:t>
      </w:r>
      <w:r w:rsidRPr="00770E55">
        <w:rPr>
          <w:rFonts w:hint="eastAsia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82FE" w14:textId="77777777" w:rsidR="00D61EB6" w:rsidRDefault="00D61EB6" w:rsidP="00F77C5C">
      <w:pPr>
        <w:spacing w:after="0" w:line="240" w:lineRule="auto"/>
      </w:pPr>
      <w:r>
        <w:separator/>
      </w:r>
    </w:p>
  </w:endnote>
  <w:endnote w:type="continuationSeparator" w:id="0">
    <w:p w14:paraId="0A07A3C6" w14:textId="77777777" w:rsidR="00D61EB6" w:rsidRDefault="00D61EB6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C701" w14:textId="77777777" w:rsidR="00D61EB6" w:rsidRDefault="00D61EB6" w:rsidP="00F77C5C">
      <w:pPr>
        <w:spacing w:after="0" w:line="240" w:lineRule="auto"/>
      </w:pPr>
      <w:r>
        <w:separator/>
      </w:r>
    </w:p>
  </w:footnote>
  <w:footnote w:type="continuationSeparator" w:id="0">
    <w:p w14:paraId="426BDFE8" w14:textId="77777777" w:rsidR="00D61EB6" w:rsidRDefault="00D61EB6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F1BE9"/>
    <w:rsid w:val="003E10C8"/>
    <w:rsid w:val="00464770"/>
    <w:rsid w:val="00D61EB6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2026-03-15T01:00:00Z</dcterms:modified>
</cp:coreProperties>
</file>