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9F51" w14:textId="77777777" w:rsidR="00E515B4" w:rsidRPr="00C9554F" w:rsidRDefault="00E515B4" w:rsidP="00E515B4">
      <w:pPr>
        <w:spacing w:after="0" w:line="360" w:lineRule="auto"/>
        <w:jc w:val="both"/>
        <w:outlineLvl w:val="1"/>
        <w:rPr>
          <w:b/>
          <w:bCs/>
        </w:rPr>
      </w:pPr>
      <w:bookmarkStart w:id="0" w:name="_Toc231722426"/>
      <w:r w:rsidRPr="00C9554F">
        <w:rPr>
          <w:b/>
          <w:bCs/>
        </w:rPr>
        <w:t xml:space="preserve">Appendix </w:t>
      </w:r>
      <w:r w:rsidRPr="00C9554F">
        <w:rPr>
          <w:rFonts w:hint="eastAsia"/>
          <w:b/>
          <w:bCs/>
        </w:rPr>
        <w:t>5</w:t>
      </w:r>
      <w:r w:rsidRPr="00C9554F">
        <w:rPr>
          <w:b/>
          <w:bCs/>
        </w:rPr>
        <w:t>. LOESS-smoothed trajectories of WBC</w:t>
      </w:r>
      <w:r w:rsidRPr="00C9554F">
        <w:rPr>
          <w:rFonts w:hint="eastAsia"/>
          <w:b/>
          <w:bCs/>
        </w:rPr>
        <w:t xml:space="preserve">, </w:t>
      </w:r>
      <w:r w:rsidRPr="00C9554F">
        <w:rPr>
          <w:b/>
          <w:bCs/>
        </w:rPr>
        <w:t>PLT</w:t>
      </w:r>
      <w:r w:rsidRPr="00C9554F">
        <w:rPr>
          <w:rFonts w:hint="eastAsia"/>
          <w:b/>
          <w:bCs/>
        </w:rPr>
        <w:t xml:space="preserve"> and qHBeAg</w:t>
      </w:r>
      <w:bookmarkEnd w:id="0"/>
      <w:r w:rsidRPr="00C9554F">
        <w:rPr>
          <w:b/>
          <w:bCs/>
        </w:rPr>
        <w:t xml:space="preserve"> </w:t>
      </w:r>
    </w:p>
    <w:p w14:paraId="3B94C908" w14:textId="77777777" w:rsidR="00E515B4" w:rsidRPr="00C9554F" w:rsidRDefault="00E515B4" w:rsidP="00E515B4">
      <w:pPr>
        <w:spacing w:after="0" w:line="360" w:lineRule="auto"/>
        <w:ind w:firstLineChars="200" w:firstLine="480"/>
        <w:jc w:val="both"/>
      </w:pPr>
      <w:r w:rsidRPr="00C9554F">
        <w:t xml:space="preserve">Using the same approach as in the main analysis, we separately constructed LOESS-smoothed trajectories for all WBC, PLT, and qHBeAg measurements collected before and after baseline. qHBeAg values were expressed as log10 S/CO. LOESS fittings were performed </w:t>
      </w:r>
      <w:r w:rsidRPr="00C9554F">
        <w:rPr>
          <w:rFonts w:hint="eastAsia"/>
        </w:rPr>
        <w:t xml:space="preserve">piecewise (x &lt; 0 and x ≥ 0), with x = 0 assigned to the post-baseline segment, and 95% CIs were displayed. </w:t>
      </w:r>
      <w:r w:rsidRPr="00C9554F">
        <w:t>Overall, the Peg-IFNα-2b add-on group showed a post-baseline “decline-then-recovery” pattern in both WBC and PLT, whereas the NAs alone group exhibited relatively small fluctuations with no obvious trajectory shift across baseline (Figs. S5–S6). The qHBeAg trajectory suggested a more rapid early decline in the Peg-IFNα-2b add-on group during the first 6 months after baseline, whereas the subsequent slopes became broadly comparable between groups (Fig. S7).  Analyses were performed in R 4.4.1 (ggplot2 3.5.1).</w:t>
      </w:r>
    </w:p>
    <w:p w14:paraId="55F1133E" w14:textId="77777777" w:rsidR="00E515B4" w:rsidRPr="00C9554F" w:rsidRDefault="00E515B4" w:rsidP="00E515B4">
      <w:pPr>
        <w:spacing w:line="480" w:lineRule="auto"/>
        <w:ind w:firstLineChars="200" w:firstLine="440"/>
        <w:jc w:val="center"/>
        <w:rPr>
          <w:sz w:val="22"/>
          <w:szCs w:val="22"/>
        </w:rPr>
      </w:pPr>
      <w:r w:rsidRPr="00C9554F">
        <w:rPr>
          <w:rFonts w:hint="eastAsia"/>
          <w:noProof/>
          <w:sz w:val="22"/>
          <w:szCs w:val="22"/>
        </w:rPr>
        <w:drawing>
          <wp:inline distT="0" distB="0" distL="0" distR="0" wp14:anchorId="04499A02" wp14:editId="16A5FAE6">
            <wp:extent cx="3360000" cy="2520000"/>
            <wp:effectExtent l="0" t="0" r="0" b="0"/>
            <wp:docPr id="13981896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89617" name="图片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C1B79" w14:textId="77777777" w:rsidR="00E515B4" w:rsidRPr="00C9554F" w:rsidRDefault="00E515B4" w:rsidP="00E515B4">
      <w:pPr>
        <w:spacing w:after="0" w:line="360" w:lineRule="auto"/>
        <w:jc w:val="center"/>
        <w:rPr>
          <w:b/>
          <w:bCs/>
        </w:rPr>
      </w:pPr>
      <w:r w:rsidRPr="00C9554F">
        <w:rPr>
          <w:b/>
          <w:bCs/>
        </w:rPr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</w:t>
      </w:r>
      <w:r w:rsidRPr="00C9554F">
        <w:rPr>
          <w:rFonts w:hint="eastAsia"/>
          <w:b/>
          <w:bCs/>
        </w:rPr>
        <w:t>5</w:t>
      </w:r>
      <w:r w:rsidRPr="00C9554F">
        <w:rPr>
          <w:b/>
          <w:bCs/>
        </w:rPr>
        <w:t>.</w:t>
      </w:r>
      <w:r w:rsidRPr="00C9554F">
        <w:rPr>
          <w:rFonts w:hint="eastAsia"/>
          <w:b/>
          <w:bCs/>
        </w:rPr>
        <w:t xml:space="preserve"> </w:t>
      </w:r>
      <w:r w:rsidRPr="00C9554F">
        <w:rPr>
          <w:b/>
          <w:bCs/>
        </w:rPr>
        <w:t>LOESS-smoothed trajectories of WBC in the two groups</w:t>
      </w:r>
      <w:r w:rsidRPr="00C9554F">
        <w:rPr>
          <w:rFonts w:hint="eastAsia"/>
          <w:b/>
          <w:bCs/>
        </w:rPr>
        <w:t>.</w:t>
      </w:r>
    </w:p>
    <w:p w14:paraId="6036C4A6" w14:textId="77777777" w:rsidR="00E515B4" w:rsidRPr="00C9554F" w:rsidRDefault="00E515B4" w:rsidP="00E515B4">
      <w:pPr>
        <w:spacing w:after="0" w:line="360" w:lineRule="auto"/>
        <w:jc w:val="both"/>
        <w:rPr>
          <w:i/>
          <w:iCs/>
          <w:sz w:val="22"/>
          <w:szCs w:val="22"/>
        </w:rPr>
      </w:pPr>
      <w:r w:rsidRPr="00C9554F">
        <w:rPr>
          <w:i/>
          <w:iCs/>
          <w:sz w:val="22"/>
          <w:szCs w:val="22"/>
        </w:rPr>
        <w:t>Points represent individual WBC measurements (</w:t>
      </w:r>
      <w:r w:rsidRPr="00C9554F">
        <w:rPr>
          <w:rFonts w:hint="eastAsia"/>
          <w:i/>
          <w:iCs/>
          <w:sz w:val="22"/>
          <w:szCs w:val="22"/>
        </w:rPr>
        <w:t>green</w:t>
      </w:r>
      <w:r w:rsidRPr="00C9554F">
        <w:rPr>
          <w:i/>
          <w:iCs/>
          <w:sz w:val="22"/>
          <w:szCs w:val="22"/>
        </w:rPr>
        <w:t xml:space="preserve"> = Peg-IFNα-2b add-on; </w:t>
      </w:r>
      <w:r w:rsidRPr="00C9554F">
        <w:rPr>
          <w:rFonts w:hint="eastAsia"/>
          <w:i/>
          <w:iCs/>
          <w:sz w:val="22"/>
          <w:szCs w:val="22"/>
        </w:rPr>
        <w:t>red</w:t>
      </w:r>
      <w:r w:rsidRPr="00C9554F">
        <w:rPr>
          <w:i/>
          <w:iCs/>
          <w:sz w:val="22"/>
          <w:szCs w:val="22"/>
        </w:rPr>
        <w:t xml:space="preserve"> = NAs</w:t>
      </w:r>
      <w:r w:rsidRPr="00C9554F">
        <w:rPr>
          <w:rFonts w:hint="eastAsia"/>
          <w:i/>
          <w:iCs/>
          <w:sz w:val="22"/>
          <w:szCs w:val="22"/>
        </w:rPr>
        <w:t xml:space="preserve"> alone</w:t>
      </w:r>
      <w:r w:rsidRPr="00C9554F">
        <w:rPr>
          <w:i/>
          <w:iCs/>
          <w:sz w:val="22"/>
          <w:szCs w:val="22"/>
        </w:rPr>
        <w:t xml:space="preserve">). Solid lines denote the </w:t>
      </w:r>
      <w:r w:rsidRPr="00C9554F">
        <w:rPr>
          <w:rStyle w:val="Strong"/>
          <w:b w:val="0"/>
          <w:bCs w:val="0"/>
          <w:i/>
          <w:iCs/>
          <w:sz w:val="22"/>
          <w:szCs w:val="22"/>
        </w:rPr>
        <w:t>LOESS-smoothed fit</w:t>
      </w:r>
      <w:r w:rsidRPr="00C9554F">
        <w:rPr>
          <w:i/>
          <w:iCs/>
          <w:sz w:val="22"/>
          <w:szCs w:val="22"/>
        </w:rPr>
        <w:t xml:space="preserve"> and shaded ribbons indicate 95% CIs. The vertical dashed line marks baseline (</w:t>
      </w:r>
      <w:r w:rsidRPr="00C9554F">
        <w:rPr>
          <w:rFonts w:hint="eastAsia"/>
          <w:i/>
          <w:iCs/>
          <w:sz w:val="22"/>
          <w:szCs w:val="22"/>
        </w:rPr>
        <w:t xml:space="preserve">x </w:t>
      </w:r>
      <w:r w:rsidRPr="00C9554F">
        <w:rPr>
          <w:i/>
          <w:iCs/>
          <w:sz w:val="22"/>
          <w:szCs w:val="22"/>
        </w:rPr>
        <w:t>=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0). The X-axis shows time (days), and the Y-axis shows WBC (×10⁹/L). Number of measurements: Peg-IFNα-2b add-on, n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=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6</w:t>
      </w:r>
      <w:r w:rsidRPr="00C9554F">
        <w:rPr>
          <w:rFonts w:hint="eastAsia"/>
          <w:i/>
          <w:iCs/>
          <w:sz w:val="22"/>
          <w:szCs w:val="22"/>
        </w:rPr>
        <w:t>20</w:t>
      </w:r>
      <w:r w:rsidRPr="00C9554F">
        <w:rPr>
          <w:i/>
          <w:iCs/>
          <w:sz w:val="22"/>
          <w:szCs w:val="22"/>
        </w:rPr>
        <w:t>; NAs</w:t>
      </w:r>
      <w:r w:rsidRPr="00C9554F">
        <w:rPr>
          <w:rFonts w:hint="eastAsia"/>
          <w:i/>
          <w:iCs/>
          <w:sz w:val="22"/>
          <w:szCs w:val="22"/>
        </w:rPr>
        <w:t xml:space="preserve"> alone</w:t>
      </w:r>
      <w:r w:rsidRPr="00C9554F">
        <w:rPr>
          <w:i/>
          <w:iCs/>
          <w:sz w:val="22"/>
          <w:szCs w:val="22"/>
        </w:rPr>
        <w:t>, n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=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63</w:t>
      </w:r>
      <w:r w:rsidRPr="00C9554F">
        <w:rPr>
          <w:rFonts w:hint="eastAsia"/>
          <w:i/>
          <w:iCs/>
          <w:sz w:val="22"/>
          <w:szCs w:val="22"/>
        </w:rPr>
        <w:t>7</w:t>
      </w:r>
      <w:r w:rsidRPr="00C9554F">
        <w:rPr>
          <w:i/>
          <w:iCs/>
          <w:sz w:val="22"/>
          <w:szCs w:val="22"/>
        </w:rPr>
        <w:t>.</w:t>
      </w:r>
    </w:p>
    <w:p w14:paraId="30231063" w14:textId="77777777" w:rsidR="00E515B4" w:rsidRPr="00C9554F" w:rsidRDefault="00E515B4" w:rsidP="00E515B4">
      <w:pPr>
        <w:spacing w:after="0" w:line="360" w:lineRule="auto"/>
        <w:ind w:firstLineChars="200" w:firstLine="480"/>
        <w:jc w:val="both"/>
      </w:pPr>
      <w:r w:rsidRPr="00C9554F">
        <w:t>In the Peg-IFNα-2b add-on group, WBC declined rapidly early after</w:t>
      </w:r>
      <w:r w:rsidRPr="00C9554F">
        <w:rPr>
          <w:rFonts w:hint="eastAsia"/>
        </w:rPr>
        <w:t xml:space="preserve"> </w:t>
      </w:r>
      <w:r w:rsidRPr="00C9554F">
        <w:t>the initiation of Peg-IFNα-2b</w:t>
      </w:r>
      <w:r w:rsidRPr="00C9554F">
        <w:rPr>
          <w:rFonts w:hint="eastAsia"/>
        </w:rPr>
        <w:t xml:space="preserve"> </w:t>
      </w:r>
      <w:r w:rsidRPr="00C9554F">
        <w:t>and reached a fitted nadir around 6 months (3.9</w:t>
      </w:r>
      <w:r w:rsidRPr="00C9554F">
        <w:rPr>
          <w:rFonts w:hint="eastAsia"/>
        </w:rPr>
        <w:t>3</w:t>
      </w:r>
      <w:r w:rsidRPr="00C9554F">
        <w:t>×10⁹/L; 95% CI: 3.</w:t>
      </w:r>
      <w:r w:rsidRPr="00C9554F">
        <w:rPr>
          <w:rFonts w:hint="eastAsia"/>
        </w:rPr>
        <w:t>75</w:t>
      </w:r>
      <w:r w:rsidRPr="00C9554F">
        <w:t>–4.</w:t>
      </w:r>
      <w:r w:rsidRPr="00C9554F">
        <w:rPr>
          <w:rFonts w:hint="eastAsia"/>
        </w:rPr>
        <w:t>08</w:t>
      </w:r>
      <w:r w:rsidRPr="00C9554F">
        <w:t>×10⁹/L), followed by a gradual recovery.</w:t>
      </w:r>
    </w:p>
    <w:p w14:paraId="4C387803" w14:textId="77777777" w:rsidR="00E515B4" w:rsidRPr="00C9554F" w:rsidRDefault="00E515B4" w:rsidP="00E515B4">
      <w:pPr>
        <w:spacing w:after="0" w:line="360" w:lineRule="auto"/>
        <w:ind w:firstLineChars="200" w:firstLine="440"/>
        <w:jc w:val="center"/>
        <w:rPr>
          <w:sz w:val="22"/>
          <w:szCs w:val="22"/>
        </w:rPr>
      </w:pPr>
      <w:r w:rsidRPr="00C9554F">
        <w:rPr>
          <w:noProof/>
          <w:sz w:val="22"/>
          <w:szCs w:val="22"/>
        </w:rPr>
        <w:lastRenderedPageBreak/>
        <w:drawing>
          <wp:inline distT="0" distB="0" distL="0" distR="0" wp14:anchorId="7896F78F" wp14:editId="52A41705">
            <wp:extent cx="3359998" cy="2519999"/>
            <wp:effectExtent l="0" t="0" r="0" b="0"/>
            <wp:docPr id="946077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77199" name="图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9998" cy="25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0E0F6" w14:textId="77777777" w:rsidR="00E515B4" w:rsidRPr="00C9554F" w:rsidRDefault="00E515B4" w:rsidP="00E515B4">
      <w:pPr>
        <w:spacing w:after="0" w:line="360" w:lineRule="auto"/>
        <w:jc w:val="center"/>
        <w:rPr>
          <w:b/>
          <w:bCs/>
        </w:rPr>
      </w:pPr>
      <w:r w:rsidRPr="00C9554F">
        <w:rPr>
          <w:b/>
          <w:bCs/>
        </w:rPr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</w:t>
      </w:r>
      <w:r w:rsidRPr="00C9554F">
        <w:rPr>
          <w:rFonts w:hint="eastAsia"/>
          <w:b/>
          <w:bCs/>
        </w:rPr>
        <w:t>6</w:t>
      </w:r>
      <w:r w:rsidRPr="00C9554F">
        <w:rPr>
          <w:b/>
          <w:bCs/>
        </w:rPr>
        <w:t>.</w:t>
      </w:r>
      <w:r w:rsidRPr="00C9554F">
        <w:rPr>
          <w:rFonts w:hint="eastAsia"/>
          <w:b/>
          <w:bCs/>
        </w:rPr>
        <w:t xml:space="preserve"> </w:t>
      </w:r>
      <w:r w:rsidRPr="00C9554F">
        <w:rPr>
          <w:b/>
          <w:bCs/>
        </w:rPr>
        <w:t>LOESS</w:t>
      </w:r>
      <w:r w:rsidRPr="00C9554F">
        <w:t>-</w:t>
      </w:r>
      <w:r w:rsidRPr="00C9554F">
        <w:rPr>
          <w:b/>
          <w:bCs/>
        </w:rPr>
        <w:t xml:space="preserve">smoothed trajectories of </w:t>
      </w:r>
      <w:r w:rsidRPr="00C9554F">
        <w:rPr>
          <w:rFonts w:hint="eastAsia"/>
          <w:b/>
          <w:bCs/>
        </w:rPr>
        <w:t>PLT</w:t>
      </w:r>
      <w:r w:rsidRPr="00C9554F">
        <w:rPr>
          <w:b/>
          <w:bCs/>
        </w:rPr>
        <w:t xml:space="preserve"> in the two groups</w:t>
      </w:r>
      <w:r w:rsidRPr="00C9554F">
        <w:rPr>
          <w:rFonts w:hint="eastAsia"/>
          <w:b/>
          <w:bCs/>
        </w:rPr>
        <w:t>.</w:t>
      </w:r>
    </w:p>
    <w:p w14:paraId="78A2F6FC" w14:textId="77777777" w:rsidR="00E515B4" w:rsidRPr="00C9554F" w:rsidRDefault="00E515B4" w:rsidP="00E515B4">
      <w:pPr>
        <w:spacing w:after="0" w:line="360" w:lineRule="auto"/>
        <w:jc w:val="both"/>
        <w:rPr>
          <w:i/>
          <w:iCs/>
          <w:sz w:val="22"/>
          <w:szCs w:val="22"/>
        </w:rPr>
      </w:pPr>
      <w:r w:rsidRPr="00C9554F">
        <w:rPr>
          <w:i/>
          <w:iCs/>
          <w:sz w:val="22"/>
          <w:szCs w:val="22"/>
        </w:rPr>
        <w:t xml:space="preserve">Points represent individual </w:t>
      </w:r>
      <w:r w:rsidRPr="00C9554F">
        <w:rPr>
          <w:rFonts w:hint="eastAsia"/>
          <w:i/>
          <w:iCs/>
          <w:sz w:val="22"/>
          <w:szCs w:val="22"/>
        </w:rPr>
        <w:t>PLT</w:t>
      </w:r>
      <w:r w:rsidRPr="00C9554F">
        <w:rPr>
          <w:i/>
          <w:iCs/>
          <w:sz w:val="22"/>
          <w:szCs w:val="22"/>
        </w:rPr>
        <w:t xml:space="preserve"> measurements (</w:t>
      </w:r>
      <w:r w:rsidRPr="00C9554F">
        <w:rPr>
          <w:rFonts w:hint="eastAsia"/>
          <w:i/>
          <w:iCs/>
          <w:sz w:val="22"/>
          <w:szCs w:val="22"/>
        </w:rPr>
        <w:t>green</w:t>
      </w:r>
      <w:r w:rsidRPr="00C9554F">
        <w:rPr>
          <w:i/>
          <w:iCs/>
          <w:sz w:val="22"/>
          <w:szCs w:val="22"/>
        </w:rPr>
        <w:t xml:space="preserve"> = Peg-IFNα-2b add-on; </w:t>
      </w:r>
      <w:r w:rsidRPr="00C9554F">
        <w:rPr>
          <w:rFonts w:hint="eastAsia"/>
          <w:i/>
          <w:iCs/>
          <w:sz w:val="22"/>
          <w:szCs w:val="22"/>
        </w:rPr>
        <w:t>red</w:t>
      </w:r>
      <w:r w:rsidRPr="00C9554F">
        <w:rPr>
          <w:i/>
          <w:iCs/>
          <w:sz w:val="22"/>
          <w:szCs w:val="22"/>
        </w:rPr>
        <w:t xml:space="preserve"> = NAs</w:t>
      </w:r>
      <w:r w:rsidRPr="00C9554F">
        <w:rPr>
          <w:rFonts w:hint="eastAsia"/>
          <w:i/>
          <w:iCs/>
          <w:sz w:val="22"/>
          <w:szCs w:val="22"/>
        </w:rPr>
        <w:t xml:space="preserve"> alone</w:t>
      </w:r>
      <w:r w:rsidRPr="00C9554F">
        <w:rPr>
          <w:i/>
          <w:iCs/>
          <w:sz w:val="22"/>
          <w:szCs w:val="22"/>
        </w:rPr>
        <w:t>). Solid lines denote the LOESS-smoothed fit and shaded ribbons indicate 95% CIs. The vertical dashed line marks baseline (</w:t>
      </w:r>
      <w:r w:rsidRPr="00C9554F">
        <w:rPr>
          <w:rFonts w:hint="eastAsia"/>
          <w:i/>
          <w:iCs/>
          <w:sz w:val="22"/>
          <w:szCs w:val="22"/>
        </w:rPr>
        <w:t xml:space="preserve">x </w:t>
      </w:r>
      <w:r w:rsidRPr="00C9554F">
        <w:rPr>
          <w:i/>
          <w:iCs/>
          <w:sz w:val="22"/>
          <w:szCs w:val="22"/>
        </w:rPr>
        <w:t>=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0). The X-axis shows time (days), and the Y-axis shows PLT (×10⁹/L). Number of measurements: Peg-IFNα-2b</w:t>
      </w:r>
      <w:r w:rsidRPr="00C9554F">
        <w:rPr>
          <w:rFonts w:hint="eastAsia"/>
          <w:i/>
          <w:iCs/>
          <w:sz w:val="22"/>
          <w:szCs w:val="22"/>
        </w:rPr>
        <w:t xml:space="preserve"> add-on</w:t>
      </w:r>
      <w:r w:rsidRPr="00C9554F">
        <w:rPr>
          <w:i/>
          <w:iCs/>
          <w:sz w:val="22"/>
          <w:szCs w:val="22"/>
        </w:rPr>
        <w:t>, n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=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6</w:t>
      </w:r>
      <w:r w:rsidRPr="00C9554F">
        <w:rPr>
          <w:rFonts w:hint="eastAsia"/>
          <w:i/>
          <w:iCs/>
          <w:sz w:val="22"/>
          <w:szCs w:val="22"/>
        </w:rPr>
        <w:t>20</w:t>
      </w:r>
      <w:r w:rsidRPr="00C9554F">
        <w:rPr>
          <w:i/>
          <w:iCs/>
          <w:sz w:val="22"/>
          <w:szCs w:val="22"/>
        </w:rPr>
        <w:t>; NAs</w:t>
      </w:r>
      <w:r w:rsidRPr="00C9554F">
        <w:rPr>
          <w:rFonts w:hint="eastAsia"/>
          <w:i/>
          <w:iCs/>
          <w:sz w:val="22"/>
          <w:szCs w:val="22"/>
        </w:rPr>
        <w:t xml:space="preserve"> alone</w:t>
      </w:r>
      <w:r w:rsidRPr="00C9554F">
        <w:rPr>
          <w:i/>
          <w:iCs/>
          <w:sz w:val="22"/>
          <w:szCs w:val="22"/>
        </w:rPr>
        <w:t>, n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=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>63</w:t>
      </w:r>
      <w:r w:rsidRPr="00C9554F">
        <w:rPr>
          <w:rFonts w:hint="eastAsia"/>
          <w:i/>
          <w:iCs/>
          <w:sz w:val="22"/>
          <w:szCs w:val="22"/>
        </w:rPr>
        <w:t>7</w:t>
      </w:r>
      <w:r w:rsidRPr="00C9554F">
        <w:rPr>
          <w:i/>
          <w:iCs/>
          <w:sz w:val="22"/>
          <w:szCs w:val="22"/>
        </w:rPr>
        <w:t>.</w:t>
      </w:r>
    </w:p>
    <w:p w14:paraId="1EEA158A" w14:textId="77777777" w:rsidR="00E515B4" w:rsidRPr="00C9554F" w:rsidRDefault="00E515B4" w:rsidP="00E515B4">
      <w:pPr>
        <w:spacing w:after="0" w:line="360" w:lineRule="auto"/>
        <w:ind w:firstLineChars="200" w:firstLine="480"/>
        <w:jc w:val="both"/>
      </w:pPr>
      <w:bookmarkStart w:id="1" w:name="OLE_LINK1"/>
      <w:r w:rsidRPr="00C9554F">
        <w:t>In the Peg-IFNα-2b add-on</w:t>
      </w:r>
      <w:r w:rsidRPr="00C9554F">
        <w:rPr>
          <w:rFonts w:hint="eastAsia"/>
        </w:rPr>
        <w:t xml:space="preserve"> </w:t>
      </w:r>
      <w:r w:rsidRPr="00C9554F">
        <w:t xml:space="preserve">group, PLT decreased rapidly early after the initiation of Peg-IFNα-2b and reached a fitted nadir around </w:t>
      </w:r>
      <w:r w:rsidRPr="00C9554F">
        <w:rPr>
          <w:rFonts w:hint="eastAsia"/>
        </w:rPr>
        <w:t xml:space="preserve">6 </w:t>
      </w:r>
      <w:r w:rsidRPr="00C9554F">
        <w:t>months (14</w:t>
      </w:r>
      <w:r w:rsidRPr="00C9554F">
        <w:rPr>
          <w:rFonts w:hint="eastAsia"/>
        </w:rPr>
        <w:t>4.98</w:t>
      </w:r>
      <w:r w:rsidRPr="00C9554F">
        <w:t>×10⁹/L; 95% CI: 138.3</w:t>
      </w:r>
      <w:r w:rsidRPr="00C9554F">
        <w:rPr>
          <w:rFonts w:hint="eastAsia"/>
        </w:rPr>
        <w:t>2</w:t>
      </w:r>
      <w:r w:rsidRPr="00C9554F">
        <w:t>–152.7</w:t>
      </w:r>
      <w:r w:rsidRPr="00C9554F">
        <w:rPr>
          <w:rFonts w:hint="eastAsia"/>
        </w:rPr>
        <w:t>5</w:t>
      </w:r>
      <w:r w:rsidRPr="00C9554F">
        <w:t xml:space="preserve">×10⁹/L), followed by a gradual recovery. In contrast, the NAs </w:t>
      </w:r>
      <w:r w:rsidRPr="00C9554F">
        <w:rPr>
          <w:rFonts w:hint="eastAsia"/>
        </w:rPr>
        <w:t xml:space="preserve">alone </w:t>
      </w:r>
      <w:r w:rsidRPr="00C9554F">
        <w:t>group exhibited limited fluctuations.</w:t>
      </w:r>
      <w:bookmarkEnd w:id="1"/>
    </w:p>
    <w:p w14:paraId="15490981" w14:textId="77777777" w:rsidR="00E515B4" w:rsidRPr="00C9554F" w:rsidRDefault="00E515B4" w:rsidP="00E515B4">
      <w:pPr>
        <w:spacing w:after="0" w:line="360" w:lineRule="auto"/>
        <w:ind w:firstLineChars="200" w:firstLine="480"/>
        <w:jc w:val="center"/>
      </w:pPr>
      <w:r w:rsidRPr="00C9554F">
        <w:rPr>
          <w:noProof/>
        </w:rPr>
        <w:drawing>
          <wp:inline distT="0" distB="0" distL="0" distR="0" wp14:anchorId="7C13EE35" wp14:editId="23A66DD4">
            <wp:extent cx="3359730" cy="2520000"/>
            <wp:effectExtent l="0" t="0" r="0" b="0"/>
            <wp:docPr id="1575244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44938" name="图片 15752449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973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6072" w14:textId="77777777" w:rsidR="00E515B4" w:rsidRPr="00C9554F" w:rsidRDefault="00E515B4" w:rsidP="00E515B4">
      <w:pPr>
        <w:spacing w:after="0" w:line="360" w:lineRule="auto"/>
        <w:jc w:val="center"/>
        <w:rPr>
          <w:b/>
          <w:bCs/>
        </w:rPr>
      </w:pPr>
      <w:r w:rsidRPr="00C9554F">
        <w:rPr>
          <w:b/>
          <w:bCs/>
        </w:rPr>
        <w:t>Fig. S7. LOESS-smoothed trajectories of qHBeAg in the two groups.</w:t>
      </w:r>
    </w:p>
    <w:p w14:paraId="12C6D34D" w14:textId="77777777" w:rsidR="00E515B4" w:rsidRPr="00C9554F" w:rsidRDefault="00E515B4" w:rsidP="00E515B4">
      <w:pPr>
        <w:spacing w:after="0" w:line="360" w:lineRule="auto"/>
        <w:jc w:val="both"/>
        <w:rPr>
          <w:i/>
          <w:iCs/>
          <w:sz w:val="22"/>
          <w:szCs w:val="22"/>
        </w:rPr>
      </w:pPr>
      <w:r w:rsidRPr="00C9554F">
        <w:rPr>
          <w:i/>
          <w:iCs/>
          <w:sz w:val="22"/>
          <w:szCs w:val="22"/>
        </w:rPr>
        <w:t xml:space="preserve">Points represent individual qHBeAg measurements expressed as log10 S/CO (green = Peg-IFNα-2b add-on; red = NAs alone). Solid lines denote the LOESS-smoothed fit and shaded ribbons indicate 95% CIs. The </w:t>
      </w:r>
      <w:r w:rsidRPr="00C9554F">
        <w:rPr>
          <w:i/>
          <w:iCs/>
          <w:sz w:val="22"/>
          <w:szCs w:val="22"/>
        </w:rPr>
        <w:lastRenderedPageBreak/>
        <w:t>vertical dashed line marks baseline (x = 0). The X-axis shows time relative to baseline in days, and the Y-axis shows qHBeAg (log10 S/CO). Number of qHB</w:t>
      </w:r>
      <w:r w:rsidRPr="00C9554F">
        <w:rPr>
          <w:rFonts w:hint="eastAsia"/>
          <w:i/>
          <w:iCs/>
          <w:sz w:val="22"/>
          <w:szCs w:val="22"/>
        </w:rPr>
        <w:t>e</w:t>
      </w:r>
      <w:r w:rsidRPr="00C9554F">
        <w:rPr>
          <w:i/>
          <w:iCs/>
          <w:sz w:val="22"/>
          <w:szCs w:val="22"/>
        </w:rPr>
        <w:t>Ag measurements: Peg-IFNα-2b add-on group, n = 563; NAs alone group, n = 604.</w:t>
      </w:r>
    </w:p>
    <w:p w14:paraId="2B2702C5" w14:textId="70A4FB4D" w:rsidR="0067415F" w:rsidRPr="00E515B4" w:rsidRDefault="00E515B4" w:rsidP="00E515B4">
      <w:r w:rsidRPr="00C9554F">
        <w:t>The Peg-IFNα-2b add-on group showed a more rapid HBeAg decline during the first 6 months, whereas the slopes of the two groups became broadly comparable thereafter. This later convergence may partly reflect early discontinuation of Peg-IFNα-2b in some patients and the resulting changes in the follow-up population.</w:t>
      </w:r>
    </w:p>
    <w:sectPr w:rsidR="0067415F" w:rsidRPr="00E515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D2"/>
    <w:rsid w:val="004244E6"/>
    <w:rsid w:val="00450C8B"/>
    <w:rsid w:val="004832C4"/>
    <w:rsid w:val="004D00A8"/>
    <w:rsid w:val="005A148B"/>
    <w:rsid w:val="0067415F"/>
    <w:rsid w:val="00A16BD2"/>
    <w:rsid w:val="00E5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859BA-91CA-4305-914E-A14D2CA1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B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B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B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B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BD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83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2026-07-11T13:09:00Z</dcterms:created>
  <dcterms:modified xsi:type="dcterms:W3CDTF">2026-07-22T07:21:00Z</dcterms:modified>
</cp:coreProperties>
</file>