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5BEC8" w14:textId="77777777" w:rsidR="00774B14" w:rsidRPr="00C9554F" w:rsidRDefault="00774B14" w:rsidP="00774B14">
      <w:pPr>
        <w:spacing w:after="0" w:line="360" w:lineRule="auto"/>
        <w:jc w:val="both"/>
        <w:outlineLvl w:val="1"/>
      </w:pPr>
      <w:bookmarkStart w:id="0" w:name="_Toc231722423"/>
      <w:r w:rsidRPr="00C9554F">
        <w:rPr>
          <w:b/>
          <w:bCs/>
        </w:rPr>
        <w:t xml:space="preserve">Appendix </w:t>
      </w:r>
      <w:r w:rsidRPr="00C9554F">
        <w:rPr>
          <w:rFonts w:hint="eastAsia"/>
          <w:b/>
          <w:bCs/>
        </w:rPr>
        <w:t>2</w:t>
      </w:r>
      <w:r w:rsidRPr="00C9554F">
        <w:rPr>
          <w:b/>
          <w:bCs/>
        </w:rPr>
        <w:t>. Propensity</w:t>
      </w:r>
      <w:r w:rsidRPr="00C9554F">
        <w:t>-</w:t>
      </w:r>
      <w:r w:rsidRPr="00C9554F">
        <w:rPr>
          <w:b/>
          <w:bCs/>
        </w:rPr>
        <w:t>score matching</w:t>
      </w:r>
      <w:r w:rsidRPr="00C9554F">
        <w:rPr>
          <w:rFonts w:hint="eastAsia"/>
          <w:b/>
          <w:bCs/>
        </w:rPr>
        <w:t xml:space="preserve"> (PSM)</w:t>
      </w:r>
      <w:r w:rsidRPr="00C9554F">
        <w:rPr>
          <w:b/>
          <w:bCs/>
        </w:rPr>
        <w:t>: methods and results</w:t>
      </w:r>
      <w:bookmarkEnd w:id="0"/>
      <w:r w:rsidRPr="00C9554F">
        <w:rPr>
          <w:b/>
          <w:bCs/>
        </w:rPr>
        <w:t xml:space="preserve"> </w:t>
      </w:r>
    </w:p>
    <w:p w14:paraId="1B24B86E" w14:textId="77777777" w:rsidR="00774B14" w:rsidRPr="00C9554F" w:rsidRDefault="00774B14" w:rsidP="00774B14">
      <w:pPr>
        <w:spacing w:after="0" w:line="360" w:lineRule="auto"/>
        <w:ind w:firstLineChars="200" w:firstLine="480"/>
        <w:jc w:val="both"/>
      </w:pPr>
      <w:bookmarkStart w:id="1" w:name="OLE_LINK14"/>
      <w:bookmarkStart w:id="2" w:name="OLE_LINK6"/>
      <w:r w:rsidRPr="00C9554F">
        <w:t>To mitigate baseline imbalances, we performed PSM to compare the Peg-IFNα-2b add-on group with the NAs</w:t>
      </w:r>
      <w:r>
        <w:rPr>
          <w:rFonts w:hint="eastAsia"/>
        </w:rPr>
        <w:t xml:space="preserve"> </w:t>
      </w:r>
      <w:r w:rsidRPr="00C9554F">
        <w:rPr>
          <w:rFonts w:hint="eastAsia"/>
        </w:rPr>
        <w:t xml:space="preserve">alone </w:t>
      </w:r>
      <w:r w:rsidRPr="00C9554F">
        <w:t>group, targeting the average treatment effect on the treated (ATT). Prespecified covariates (age, sex, white blood cell</w:t>
      </w:r>
      <w:r w:rsidRPr="00C9554F">
        <w:rPr>
          <w:rFonts w:hint="eastAsia"/>
        </w:rPr>
        <w:t xml:space="preserve"> </w:t>
      </w:r>
      <w:r w:rsidRPr="00C9554F">
        <w:t>[</w:t>
      </w:r>
      <w:r w:rsidRPr="00C9554F">
        <w:rPr>
          <w:rFonts w:hint="eastAsia"/>
        </w:rPr>
        <w:t>WBC</w:t>
      </w:r>
      <w:r w:rsidRPr="00C9554F">
        <w:t>] count, neutrophil count, hemoglobin, platelet [</w:t>
      </w:r>
      <w:r w:rsidRPr="00C9554F">
        <w:rPr>
          <w:rFonts w:hint="eastAsia"/>
        </w:rPr>
        <w:t>PLT</w:t>
      </w:r>
      <w:r w:rsidRPr="00C9554F">
        <w:t>]</w:t>
      </w:r>
      <w:r w:rsidRPr="00C9554F">
        <w:rPr>
          <w:rFonts w:hint="eastAsia"/>
        </w:rPr>
        <w:t xml:space="preserve"> </w:t>
      </w:r>
      <w:r w:rsidRPr="00C9554F">
        <w:t xml:space="preserve">count, and quantitative HBsAg </w:t>
      </w:r>
      <w:bookmarkStart w:id="3" w:name="_Hlk218375002"/>
      <w:r w:rsidRPr="00C9554F">
        <w:t>[</w:t>
      </w:r>
      <w:bookmarkEnd w:id="3"/>
      <w:r w:rsidRPr="00C9554F">
        <w:t>qHBsAg]) were entered into a logistic regression model to estimate the propensity score. We then conducted 1:1 nearest-neighbor matching on the logit of the propensity score without replacement, using a caliper width of 0.2 standard deviations of the logit of the propensity score (0.128 logit units in this cohort). Pairs exceeding the caliper were not matched; additionally, we restricted analyses to the region of common support defined by the overlap of propensity-score distributions. Matching order was randomized. Covariate balance was assessed using standardized mean differences (SMDs), with |SMD| &lt;</w:t>
      </w:r>
      <w:r w:rsidRPr="00C9554F">
        <w:rPr>
          <w:rFonts w:hint="eastAsia"/>
        </w:rPr>
        <w:t xml:space="preserve"> </w:t>
      </w:r>
      <w:r w:rsidRPr="00C9554F">
        <w:t>0.10 indicating adequate balance, complemented by variance-ratio checks and visual inspection of propensity-score overlap. Analyses were performed in R version 4.4.1 (MatchIt 4.5.0, survival 3). Figures were generated in R (ggplot2 3.5.1).</w:t>
      </w:r>
      <w:bookmarkEnd w:id="1"/>
    </w:p>
    <w:bookmarkEnd w:id="2"/>
    <w:p w14:paraId="6AC40928" w14:textId="77777777" w:rsidR="00774B14" w:rsidRPr="00C9554F" w:rsidRDefault="00774B14" w:rsidP="00774B14">
      <w:pPr>
        <w:spacing w:after="0" w:line="360" w:lineRule="auto"/>
        <w:ind w:firstLineChars="200" w:firstLine="480"/>
        <w:jc w:val="both"/>
        <w:rPr>
          <w:noProof/>
          <w:sz w:val="22"/>
          <w:szCs w:val="22"/>
        </w:rPr>
      </w:pPr>
      <w:r w:rsidRPr="00C9554F">
        <w:t>All 161 patients in the Peg-IFNα-2b add-on</w:t>
      </w:r>
      <w:r w:rsidRPr="00C9554F">
        <w:rPr>
          <w:rFonts w:hint="eastAsia"/>
        </w:rPr>
        <w:t xml:space="preserve"> </w:t>
      </w:r>
      <w:r w:rsidRPr="00C9554F">
        <w:t>group were matched 1:1 to patients in the NAs</w:t>
      </w:r>
      <w:r>
        <w:rPr>
          <w:rFonts w:hint="eastAsia"/>
        </w:rPr>
        <w:t xml:space="preserve"> </w:t>
      </w:r>
      <w:r w:rsidRPr="00C9554F">
        <w:rPr>
          <w:rFonts w:hint="eastAsia"/>
        </w:rPr>
        <w:t xml:space="preserve">alone </w:t>
      </w:r>
      <w:r w:rsidRPr="00C9554F">
        <w:t xml:space="preserve">group, yielding 161 matched pairs (n = 322); 78.5% of </w:t>
      </w:r>
      <w:r w:rsidRPr="00C9554F">
        <w:rPr>
          <w:rFonts w:hint="eastAsia"/>
        </w:rPr>
        <w:t>NAs</w:t>
      </w:r>
      <w:r w:rsidRPr="00C9554F">
        <w:t xml:space="preserve"> </w:t>
      </w:r>
      <w:r w:rsidRPr="00C9554F">
        <w:rPr>
          <w:rFonts w:hint="eastAsia"/>
        </w:rPr>
        <w:t xml:space="preserve">alone </w:t>
      </w:r>
      <w:r w:rsidRPr="00C9554F">
        <w:t>patients were retained (161/205). Post-matching balance improved substantially (mean |SMD| = 0.038; maximum |SMD| = 0.059; all covariates &lt;0.10)</w:t>
      </w:r>
      <w:r w:rsidRPr="00C9554F">
        <w:rPr>
          <w:rFonts w:hint="eastAsia"/>
        </w:rPr>
        <w:t xml:space="preserve"> (Table 1)</w:t>
      </w:r>
      <w:r w:rsidRPr="00C9554F">
        <w:t>. The common-support interval (propensity score) was (0.138, 0.707) before matching and (0.174, 0.697) after matching, indicating improved overlap in the matched sample. The PSM flowchart is shown in Supplementary Fig</w:t>
      </w:r>
      <w:r w:rsidRPr="00C9554F">
        <w:rPr>
          <w:rFonts w:hint="eastAsia"/>
        </w:rPr>
        <w:t>.</w:t>
      </w:r>
      <w:r w:rsidRPr="00C9554F">
        <w:t xml:space="preserve"> S1; diagnostics are provided in Supplementary Figs</w:t>
      </w:r>
      <w:r w:rsidRPr="00C9554F">
        <w:rPr>
          <w:rFonts w:hint="eastAsia"/>
        </w:rPr>
        <w:t xml:space="preserve">. </w:t>
      </w:r>
      <w:r w:rsidRPr="00C9554F">
        <w:t>S2–S3.</w:t>
      </w:r>
    </w:p>
    <w:p w14:paraId="7DA04262" w14:textId="77777777" w:rsidR="00774B14" w:rsidRPr="00C9554F" w:rsidRDefault="00774B14" w:rsidP="00774B14">
      <w:pPr>
        <w:spacing w:after="0" w:line="360" w:lineRule="auto"/>
        <w:ind w:firstLineChars="200" w:firstLine="480"/>
        <w:jc w:val="center"/>
      </w:pPr>
      <w:r w:rsidRPr="00C9554F">
        <w:rPr>
          <w:noProof/>
        </w:rPr>
        <w:lastRenderedPageBreak/>
        <w:drawing>
          <wp:inline distT="0" distB="0" distL="0" distR="0" wp14:anchorId="22127700" wp14:editId="396BFB5D">
            <wp:extent cx="3955309" cy="2966720"/>
            <wp:effectExtent l="0" t="0" r="7620" b="5080"/>
            <wp:docPr id="15351257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25711" name="图片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5309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F974D" w14:textId="77777777" w:rsidR="00774B14" w:rsidRPr="00C9554F" w:rsidRDefault="00774B14" w:rsidP="00774B14">
      <w:pPr>
        <w:spacing w:after="0" w:line="360" w:lineRule="auto"/>
        <w:jc w:val="center"/>
        <w:rPr>
          <w:b/>
          <w:bCs/>
        </w:rPr>
      </w:pPr>
      <w:r w:rsidRPr="00C9554F">
        <w:rPr>
          <w:b/>
          <w:bCs/>
        </w:rPr>
        <w:t>Fig</w:t>
      </w:r>
      <w:r w:rsidRPr="00C9554F">
        <w:rPr>
          <w:rFonts w:hint="eastAsia"/>
          <w:b/>
          <w:bCs/>
        </w:rPr>
        <w:t>.</w:t>
      </w:r>
      <w:r w:rsidRPr="00C9554F">
        <w:rPr>
          <w:b/>
          <w:bCs/>
        </w:rPr>
        <w:t xml:space="preserve"> S1.</w:t>
      </w:r>
      <w:r w:rsidRPr="00C9554F">
        <w:t xml:space="preserve"> </w:t>
      </w:r>
      <w:r w:rsidRPr="00C9554F">
        <w:rPr>
          <w:b/>
          <w:bCs/>
        </w:rPr>
        <w:t>PSM flowchart</w:t>
      </w:r>
    </w:p>
    <w:p w14:paraId="3EFC1574" w14:textId="77777777" w:rsidR="00774B14" w:rsidRPr="00C9554F" w:rsidRDefault="00774B14" w:rsidP="00774B14">
      <w:pPr>
        <w:spacing w:after="0" w:line="360" w:lineRule="auto"/>
        <w:ind w:firstLineChars="200" w:firstLine="482"/>
        <w:jc w:val="center"/>
        <w:rPr>
          <w:b/>
          <w:bCs/>
        </w:rPr>
      </w:pPr>
      <w:r w:rsidRPr="00C9554F">
        <w:rPr>
          <w:rFonts w:hint="eastAsia"/>
          <w:b/>
          <w:bCs/>
        </w:rPr>
        <w:t xml:space="preserve">Table S1. </w:t>
      </w:r>
      <w:r w:rsidRPr="00C9554F">
        <w:rPr>
          <w:b/>
          <w:bCs/>
        </w:rPr>
        <w:t>Baseline characteristics before and after propensity score matching between Peg-IFNα-2b add</w:t>
      </w:r>
      <w:r w:rsidRPr="00C9554F">
        <w:t>-</w:t>
      </w:r>
      <w:r w:rsidRPr="00C9554F">
        <w:rPr>
          <w:b/>
          <w:bCs/>
        </w:rPr>
        <w:t xml:space="preserve">on and NAs </w:t>
      </w:r>
      <w:r w:rsidRPr="00C9554F">
        <w:rPr>
          <w:rFonts w:hint="eastAsia"/>
          <w:b/>
          <w:bCs/>
        </w:rPr>
        <w:t xml:space="preserve">alone </w:t>
      </w:r>
      <w:r w:rsidRPr="00C9554F">
        <w:rPr>
          <w:b/>
          <w:bCs/>
        </w:rPr>
        <w:t>cohorts.</w:t>
      </w:r>
    </w:p>
    <w:tbl>
      <w:tblPr>
        <w:tblStyle w:val="TableGrid"/>
        <w:tblW w:w="939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560"/>
        <w:gridCol w:w="850"/>
        <w:gridCol w:w="1559"/>
        <w:gridCol w:w="1701"/>
        <w:gridCol w:w="891"/>
      </w:tblGrid>
      <w:tr w:rsidR="00774B14" w:rsidRPr="00C9554F" w14:paraId="00B8E2D4" w14:textId="77777777" w:rsidTr="00B258A0">
        <w:trPr>
          <w:trHeight w:val="651"/>
          <w:jc w:val="center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14:paraId="67CFCA9F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bookmarkStart w:id="4" w:name="_Hlk213167007"/>
            <w:r w:rsidRPr="00C9554F">
              <w:rPr>
                <w:sz w:val="22"/>
                <w:szCs w:val="22"/>
              </w:rPr>
              <w:t>Indicators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9D1A8B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kern w:val="0"/>
                <w:sz w:val="22"/>
                <w:szCs w:val="22"/>
                <w14:ligatures w14:val="none"/>
              </w:rPr>
              <w:t>Pre-matching</w:t>
            </w:r>
          </w:p>
        </w:tc>
        <w:tc>
          <w:tcPr>
            <w:tcW w:w="415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1005BD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kern w:val="0"/>
                <w:sz w:val="22"/>
                <w:szCs w:val="22"/>
                <w14:ligatures w14:val="none"/>
              </w:rPr>
              <w:t>Post-matching</w:t>
            </w:r>
          </w:p>
        </w:tc>
      </w:tr>
      <w:tr w:rsidR="00774B14" w:rsidRPr="00C9554F" w14:paraId="79B7DB2D" w14:textId="77777777" w:rsidTr="00B258A0">
        <w:trPr>
          <w:trHeight w:val="1303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4FE29736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FD54D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t>Peg-IFNα-2b add-on</w:t>
            </w:r>
            <w:r w:rsidRPr="00C9554F">
              <w:rPr>
                <w:sz w:val="22"/>
                <w:szCs w:val="22"/>
              </w:rPr>
              <w:t xml:space="preserve"> group</w:t>
            </w:r>
          </w:p>
          <w:p w14:paraId="3A36B261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(n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=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161)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6110C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NAs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rFonts w:hint="eastAsia"/>
                <w:sz w:val="22"/>
                <w:szCs w:val="22"/>
              </w:rPr>
              <w:t xml:space="preserve">alone </w:t>
            </w:r>
            <w:r w:rsidRPr="00C9554F">
              <w:rPr>
                <w:sz w:val="22"/>
                <w:szCs w:val="22"/>
              </w:rPr>
              <w:t>group</w:t>
            </w:r>
          </w:p>
          <w:p w14:paraId="69A8E315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(n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=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205)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C81C9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SMD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BB7BD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t>Peg-IFNα-2b add-on</w:t>
            </w:r>
            <w:r w:rsidRPr="00C9554F">
              <w:rPr>
                <w:sz w:val="22"/>
                <w:szCs w:val="22"/>
              </w:rPr>
              <w:t xml:space="preserve"> group</w:t>
            </w:r>
          </w:p>
          <w:p w14:paraId="7DB49E94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(n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=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161)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49A91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 xml:space="preserve">NAs </w:t>
            </w:r>
            <w:r w:rsidRPr="00C9554F">
              <w:rPr>
                <w:rFonts w:hint="eastAsia"/>
                <w:sz w:val="22"/>
                <w:szCs w:val="22"/>
              </w:rPr>
              <w:t xml:space="preserve">alone </w:t>
            </w:r>
            <w:r w:rsidRPr="00C9554F">
              <w:rPr>
                <w:sz w:val="22"/>
                <w:szCs w:val="22"/>
              </w:rPr>
              <w:t>group</w:t>
            </w:r>
          </w:p>
          <w:p w14:paraId="1E1A5776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(n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=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161)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A18D7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SMD</w:t>
            </w:r>
          </w:p>
        </w:tc>
      </w:tr>
      <w:tr w:rsidR="00774B14" w:rsidRPr="00C9554F" w14:paraId="6377B139" w14:textId="77777777" w:rsidTr="00B258A0">
        <w:trPr>
          <w:trHeight w:val="1303"/>
          <w:jc w:val="center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D603CEB" w14:textId="77777777" w:rsidR="00774B14" w:rsidRPr="00C9554F" w:rsidRDefault="00774B14" w:rsidP="00B258A0">
            <w:pPr>
              <w:spacing w:line="480" w:lineRule="auto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  <w14:ligatures w14:val="none"/>
              </w:rPr>
              <w:t>Age</w:t>
            </w:r>
            <w:r w:rsidRPr="00C9554F">
              <w:rPr>
                <w:rFonts w:hint="eastAsia"/>
                <w:sz w:val="22"/>
                <w:szCs w:val="22"/>
                <w14:ligatures w14:val="none"/>
              </w:rPr>
              <w:t xml:space="preserve"> </w:t>
            </w:r>
            <w:r w:rsidRPr="00C9554F">
              <w:rPr>
                <w:sz w:val="22"/>
                <w:szCs w:val="22"/>
                <w14:ligatures w14:val="none"/>
              </w:rPr>
              <w:t>(years)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00DC8AF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42.00</w:t>
            </w:r>
          </w:p>
          <w:p w14:paraId="7BD895B9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(36.00,48.00)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EF4C43B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44.00</w:t>
            </w:r>
          </w:p>
          <w:p w14:paraId="4F18E62C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(35.00,53.00)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942FE8E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-0.205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A2C3585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42.00</w:t>
            </w:r>
          </w:p>
          <w:p w14:paraId="3D0E2867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 xml:space="preserve"> (36.00,48.00)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30BF46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44.00</w:t>
            </w:r>
          </w:p>
          <w:p w14:paraId="6026C1AF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(35.00,53.00)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14:paraId="49E14DEF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-0.046</w:t>
            </w:r>
          </w:p>
        </w:tc>
      </w:tr>
      <w:tr w:rsidR="00774B14" w:rsidRPr="00C9554F" w14:paraId="58C116E6" w14:textId="77777777" w:rsidTr="00B258A0">
        <w:trPr>
          <w:trHeight w:val="1038"/>
          <w:jc w:val="center"/>
        </w:trPr>
        <w:tc>
          <w:tcPr>
            <w:tcW w:w="1276" w:type="dxa"/>
            <w:vAlign w:val="center"/>
          </w:tcPr>
          <w:p w14:paraId="01D6CB07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  <w14:ligatures w14:val="none"/>
              </w:rPr>
            </w:pPr>
            <w:r w:rsidRPr="00C9554F">
              <w:rPr>
                <w:sz w:val="22"/>
                <w:szCs w:val="22"/>
              </w:rPr>
              <w:t>Male sex</w:t>
            </w:r>
            <w:r w:rsidRPr="00C9554F">
              <w:rPr>
                <w:sz w:val="22"/>
                <w:szCs w:val="22"/>
                <w14:ligatures w14:val="none"/>
              </w:rPr>
              <w:t>, n</w:t>
            </w:r>
          </w:p>
          <w:p w14:paraId="28376D90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  <w14:ligatures w14:val="none"/>
              </w:rPr>
              <w:t>(%)</w:t>
            </w:r>
          </w:p>
        </w:tc>
        <w:tc>
          <w:tcPr>
            <w:tcW w:w="1559" w:type="dxa"/>
            <w:vAlign w:val="center"/>
          </w:tcPr>
          <w:p w14:paraId="7172F29F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  <w14:ligatures w14:val="none"/>
              </w:rPr>
            </w:pPr>
            <w:r w:rsidRPr="00C9554F">
              <w:rPr>
                <w:sz w:val="22"/>
                <w:szCs w:val="22"/>
                <w14:ligatures w14:val="none"/>
              </w:rPr>
              <w:t>135</w:t>
            </w:r>
          </w:p>
          <w:p w14:paraId="61D2AF47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  <w14:ligatures w14:val="none"/>
              </w:rPr>
              <w:t>(83.85%)</w:t>
            </w:r>
          </w:p>
        </w:tc>
        <w:tc>
          <w:tcPr>
            <w:tcW w:w="1560" w:type="dxa"/>
            <w:vAlign w:val="center"/>
          </w:tcPr>
          <w:p w14:paraId="6A9B17D3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131</w:t>
            </w:r>
          </w:p>
          <w:p w14:paraId="5AEDDC1B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(63.90%)</w:t>
            </w:r>
          </w:p>
        </w:tc>
        <w:tc>
          <w:tcPr>
            <w:tcW w:w="850" w:type="dxa"/>
            <w:vAlign w:val="center"/>
          </w:tcPr>
          <w:p w14:paraId="7221EB92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0.467</w:t>
            </w:r>
          </w:p>
        </w:tc>
        <w:tc>
          <w:tcPr>
            <w:tcW w:w="1559" w:type="dxa"/>
            <w:vAlign w:val="center"/>
          </w:tcPr>
          <w:p w14:paraId="1A57323B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  <w14:ligatures w14:val="none"/>
              </w:rPr>
            </w:pPr>
            <w:r w:rsidRPr="00C9554F">
              <w:rPr>
                <w:sz w:val="22"/>
                <w:szCs w:val="22"/>
                <w14:ligatures w14:val="none"/>
              </w:rPr>
              <w:t>135</w:t>
            </w:r>
          </w:p>
          <w:p w14:paraId="1E2ED462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  <w14:ligatures w14:val="none"/>
              </w:rPr>
              <w:t>(83.85%)</w:t>
            </w:r>
          </w:p>
        </w:tc>
        <w:tc>
          <w:tcPr>
            <w:tcW w:w="1701" w:type="dxa"/>
            <w:vAlign w:val="center"/>
          </w:tcPr>
          <w:p w14:paraId="05966A01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1</w:t>
            </w:r>
            <w:r w:rsidRPr="00C9554F">
              <w:rPr>
                <w:rFonts w:hint="eastAsia"/>
                <w:sz w:val="22"/>
                <w:szCs w:val="22"/>
              </w:rPr>
              <w:t>30</w:t>
            </w:r>
          </w:p>
          <w:p w14:paraId="766D56E4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</w:t>
            </w:r>
            <w:r w:rsidRPr="00C9554F">
              <w:rPr>
                <w:rFonts w:hint="eastAsia"/>
                <w:sz w:val="22"/>
                <w:szCs w:val="22"/>
              </w:rPr>
              <w:t>80.75</w:t>
            </w:r>
            <w:r w:rsidRPr="00C9554F">
              <w:rPr>
                <w:sz w:val="22"/>
                <w:szCs w:val="22"/>
              </w:rPr>
              <w:t>%)</w:t>
            </w:r>
          </w:p>
        </w:tc>
        <w:tc>
          <w:tcPr>
            <w:tcW w:w="891" w:type="dxa"/>
            <w:vAlign w:val="center"/>
          </w:tcPr>
          <w:p w14:paraId="5BAB6150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-0.052</w:t>
            </w:r>
          </w:p>
        </w:tc>
      </w:tr>
      <w:tr w:rsidR="00774B14" w:rsidRPr="00C9554F" w14:paraId="1D6C6373" w14:textId="77777777" w:rsidTr="00B258A0">
        <w:trPr>
          <w:trHeight w:val="325"/>
          <w:jc w:val="center"/>
        </w:trPr>
        <w:tc>
          <w:tcPr>
            <w:tcW w:w="1276" w:type="dxa"/>
            <w:vAlign w:val="center"/>
          </w:tcPr>
          <w:p w14:paraId="0298516C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Hb (g/L)</w:t>
            </w:r>
          </w:p>
        </w:tc>
        <w:tc>
          <w:tcPr>
            <w:tcW w:w="1559" w:type="dxa"/>
            <w:vAlign w:val="center"/>
          </w:tcPr>
          <w:p w14:paraId="287843E0" w14:textId="77777777" w:rsidR="00774B14" w:rsidRPr="00C9554F" w:rsidRDefault="00774B14" w:rsidP="00B258A0">
            <w:pPr>
              <w:spacing w:line="480" w:lineRule="auto"/>
              <w:ind w:leftChars="-50" w:left="-120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151.00</w:t>
            </w:r>
          </w:p>
          <w:p w14:paraId="28D09F3A" w14:textId="77777777" w:rsidR="00774B14" w:rsidRPr="00C9554F" w:rsidRDefault="00774B14" w:rsidP="00B258A0">
            <w:pPr>
              <w:spacing w:line="480" w:lineRule="auto"/>
              <w:ind w:leftChars="-50" w:left="-120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lastRenderedPageBreak/>
              <w:t>(136.00,159.00)</w:t>
            </w:r>
          </w:p>
        </w:tc>
        <w:tc>
          <w:tcPr>
            <w:tcW w:w="1560" w:type="dxa"/>
            <w:vAlign w:val="center"/>
          </w:tcPr>
          <w:p w14:paraId="66793D0C" w14:textId="77777777" w:rsidR="00774B14" w:rsidRPr="00C9554F" w:rsidRDefault="00774B14" w:rsidP="00B258A0">
            <w:pPr>
              <w:spacing w:line="480" w:lineRule="auto"/>
              <w:ind w:leftChars="-50" w:left="-120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lastRenderedPageBreak/>
              <w:t>159.00</w:t>
            </w:r>
          </w:p>
          <w:p w14:paraId="5427F26A" w14:textId="77777777" w:rsidR="00774B14" w:rsidRPr="00C9554F" w:rsidRDefault="00774B14" w:rsidP="00B258A0">
            <w:pPr>
              <w:spacing w:line="480" w:lineRule="auto"/>
              <w:ind w:leftChars="-50" w:left="-120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lastRenderedPageBreak/>
              <w:t>(149.00,168.40)</w:t>
            </w:r>
          </w:p>
        </w:tc>
        <w:tc>
          <w:tcPr>
            <w:tcW w:w="850" w:type="dxa"/>
            <w:vAlign w:val="center"/>
          </w:tcPr>
          <w:p w14:paraId="1B8BAC6B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lastRenderedPageBreak/>
              <w:t>0.009</w:t>
            </w:r>
          </w:p>
        </w:tc>
        <w:tc>
          <w:tcPr>
            <w:tcW w:w="1559" w:type="dxa"/>
            <w:vAlign w:val="center"/>
          </w:tcPr>
          <w:p w14:paraId="58624B87" w14:textId="77777777" w:rsidR="00774B14" w:rsidRPr="00C9554F" w:rsidRDefault="00774B14" w:rsidP="00B258A0">
            <w:pPr>
              <w:spacing w:line="480" w:lineRule="auto"/>
              <w:ind w:leftChars="-50" w:left="-120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151.00</w:t>
            </w:r>
          </w:p>
          <w:p w14:paraId="4DF85EE5" w14:textId="77777777" w:rsidR="00774B14" w:rsidRPr="00C9554F" w:rsidRDefault="00774B14" w:rsidP="00B258A0">
            <w:pPr>
              <w:spacing w:line="480" w:lineRule="auto"/>
              <w:ind w:leftChars="-50" w:left="-120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lastRenderedPageBreak/>
              <w:t>(136.00,159.00)</w:t>
            </w:r>
          </w:p>
        </w:tc>
        <w:tc>
          <w:tcPr>
            <w:tcW w:w="1701" w:type="dxa"/>
            <w:vAlign w:val="center"/>
          </w:tcPr>
          <w:p w14:paraId="4C5D63C3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lastRenderedPageBreak/>
              <w:t>148.00</w:t>
            </w:r>
          </w:p>
          <w:p w14:paraId="35C9113F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lastRenderedPageBreak/>
              <w:t>(136.00,158.00)</w:t>
            </w:r>
          </w:p>
        </w:tc>
        <w:tc>
          <w:tcPr>
            <w:tcW w:w="891" w:type="dxa"/>
            <w:vAlign w:val="center"/>
          </w:tcPr>
          <w:p w14:paraId="7DA77CD1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lastRenderedPageBreak/>
              <w:t>-0.059</w:t>
            </w:r>
          </w:p>
        </w:tc>
      </w:tr>
      <w:tr w:rsidR="00774B14" w:rsidRPr="00C9554F" w14:paraId="3AB736AA" w14:textId="77777777" w:rsidTr="00B258A0">
        <w:trPr>
          <w:trHeight w:val="651"/>
          <w:jc w:val="center"/>
        </w:trPr>
        <w:tc>
          <w:tcPr>
            <w:tcW w:w="1276" w:type="dxa"/>
            <w:vAlign w:val="center"/>
          </w:tcPr>
          <w:p w14:paraId="623000A0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WBC</w:t>
            </w:r>
          </w:p>
          <w:p w14:paraId="6694EFC3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(×10⁹/L)</w:t>
            </w:r>
          </w:p>
        </w:tc>
        <w:tc>
          <w:tcPr>
            <w:tcW w:w="1559" w:type="dxa"/>
            <w:vAlign w:val="center"/>
          </w:tcPr>
          <w:p w14:paraId="7ABEEC6B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5.67</w:t>
            </w:r>
          </w:p>
          <w:p w14:paraId="0980CA3F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(4.83,6.63)</w:t>
            </w:r>
          </w:p>
        </w:tc>
        <w:tc>
          <w:tcPr>
            <w:tcW w:w="1560" w:type="dxa"/>
            <w:vAlign w:val="center"/>
          </w:tcPr>
          <w:p w14:paraId="2CDB92A7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5.57</w:t>
            </w:r>
          </w:p>
          <w:p w14:paraId="7E95DA3E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(4.48,6.60)</w:t>
            </w:r>
          </w:p>
        </w:tc>
        <w:tc>
          <w:tcPr>
            <w:tcW w:w="850" w:type="dxa"/>
            <w:vAlign w:val="center"/>
          </w:tcPr>
          <w:p w14:paraId="55E28AF6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0.152</w:t>
            </w:r>
          </w:p>
        </w:tc>
        <w:tc>
          <w:tcPr>
            <w:tcW w:w="1559" w:type="dxa"/>
            <w:vAlign w:val="center"/>
          </w:tcPr>
          <w:p w14:paraId="6EF9E4BE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5.67</w:t>
            </w:r>
          </w:p>
          <w:p w14:paraId="03C94403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(4.83,6.63)</w:t>
            </w:r>
          </w:p>
        </w:tc>
        <w:tc>
          <w:tcPr>
            <w:tcW w:w="1701" w:type="dxa"/>
            <w:vAlign w:val="center"/>
          </w:tcPr>
          <w:p w14:paraId="5B42EBA6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5.46</w:t>
            </w:r>
          </w:p>
          <w:p w14:paraId="315720DD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(4.40,6.55)</w:t>
            </w:r>
          </w:p>
        </w:tc>
        <w:tc>
          <w:tcPr>
            <w:tcW w:w="891" w:type="dxa"/>
            <w:vAlign w:val="center"/>
          </w:tcPr>
          <w:p w14:paraId="769484CA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0.007</w:t>
            </w:r>
          </w:p>
        </w:tc>
      </w:tr>
      <w:tr w:rsidR="00774B14" w:rsidRPr="00C9554F" w14:paraId="4CD87234" w14:textId="77777777" w:rsidTr="00B258A0">
        <w:trPr>
          <w:trHeight w:val="325"/>
          <w:jc w:val="center"/>
        </w:trPr>
        <w:tc>
          <w:tcPr>
            <w:tcW w:w="1276" w:type="dxa"/>
            <w:vAlign w:val="center"/>
          </w:tcPr>
          <w:p w14:paraId="21B8E636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Neutrophils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(×10⁹/L)</w:t>
            </w:r>
          </w:p>
        </w:tc>
        <w:tc>
          <w:tcPr>
            <w:tcW w:w="1559" w:type="dxa"/>
            <w:vAlign w:val="center"/>
          </w:tcPr>
          <w:p w14:paraId="4D645FE9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3.05</w:t>
            </w:r>
          </w:p>
          <w:p w14:paraId="1EC053A0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(2.52,3.88)</w:t>
            </w:r>
          </w:p>
        </w:tc>
        <w:tc>
          <w:tcPr>
            <w:tcW w:w="1560" w:type="dxa"/>
            <w:vAlign w:val="center"/>
          </w:tcPr>
          <w:p w14:paraId="5354DCC4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3.00</w:t>
            </w:r>
          </w:p>
          <w:p w14:paraId="79A63B84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(2.30,3.78)</w:t>
            </w:r>
          </w:p>
        </w:tc>
        <w:tc>
          <w:tcPr>
            <w:tcW w:w="850" w:type="dxa"/>
            <w:vAlign w:val="center"/>
          </w:tcPr>
          <w:p w14:paraId="794641DE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0.144</w:t>
            </w:r>
          </w:p>
        </w:tc>
        <w:tc>
          <w:tcPr>
            <w:tcW w:w="1559" w:type="dxa"/>
            <w:vAlign w:val="center"/>
          </w:tcPr>
          <w:p w14:paraId="1759D8DD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3.05</w:t>
            </w:r>
          </w:p>
          <w:p w14:paraId="6CE14975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(2.52,3.88)</w:t>
            </w:r>
          </w:p>
        </w:tc>
        <w:tc>
          <w:tcPr>
            <w:tcW w:w="1701" w:type="dxa"/>
            <w:vAlign w:val="center"/>
          </w:tcPr>
          <w:p w14:paraId="19CC1008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2.92</w:t>
            </w:r>
          </w:p>
          <w:p w14:paraId="448FC691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(2.23,3.80)</w:t>
            </w:r>
          </w:p>
        </w:tc>
        <w:tc>
          <w:tcPr>
            <w:tcW w:w="891" w:type="dxa"/>
            <w:vAlign w:val="center"/>
          </w:tcPr>
          <w:p w14:paraId="5AC18356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-0.036</w:t>
            </w:r>
          </w:p>
        </w:tc>
      </w:tr>
      <w:tr w:rsidR="00774B14" w:rsidRPr="00C9554F" w14:paraId="4E79F20B" w14:textId="77777777" w:rsidTr="00B258A0">
        <w:trPr>
          <w:trHeight w:val="313"/>
          <w:jc w:val="center"/>
        </w:trPr>
        <w:tc>
          <w:tcPr>
            <w:tcW w:w="1276" w:type="dxa"/>
            <w:vAlign w:val="center"/>
          </w:tcPr>
          <w:p w14:paraId="26A20750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P</w:t>
            </w:r>
            <w:r w:rsidRPr="00C9554F">
              <w:rPr>
                <w:rFonts w:hint="eastAsia"/>
                <w:sz w:val="22"/>
                <w:szCs w:val="22"/>
              </w:rPr>
              <w:t>LT</w:t>
            </w:r>
          </w:p>
          <w:p w14:paraId="30FF5A69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(×10⁹/L)</w:t>
            </w:r>
          </w:p>
        </w:tc>
        <w:tc>
          <w:tcPr>
            <w:tcW w:w="1559" w:type="dxa"/>
            <w:vAlign w:val="center"/>
          </w:tcPr>
          <w:p w14:paraId="4F3C3986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192.11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±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62.49</w:t>
            </w:r>
          </w:p>
        </w:tc>
        <w:tc>
          <w:tcPr>
            <w:tcW w:w="1560" w:type="dxa"/>
            <w:vAlign w:val="center"/>
          </w:tcPr>
          <w:p w14:paraId="5477992D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191.11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±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60.36</w:t>
            </w:r>
          </w:p>
        </w:tc>
        <w:tc>
          <w:tcPr>
            <w:tcW w:w="850" w:type="dxa"/>
            <w:vAlign w:val="center"/>
          </w:tcPr>
          <w:p w14:paraId="0B3C48D7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0.017</w:t>
            </w:r>
          </w:p>
        </w:tc>
        <w:tc>
          <w:tcPr>
            <w:tcW w:w="1559" w:type="dxa"/>
            <w:vAlign w:val="center"/>
          </w:tcPr>
          <w:p w14:paraId="22C30C64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192.11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±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62.49</w:t>
            </w:r>
          </w:p>
        </w:tc>
        <w:tc>
          <w:tcPr>
            <w:tcW w:w="1701" w:type="dxa"/>
            <w:vAlign w:val="center"/>
          </w:tcPr>
          <w:p w14:paraId="2FBF1938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188.80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±</w:t>
            </w:r>
            <w:r w:rsidRPr="00C9554F">
              <w:rPr>
                <w:rFonts w:hint="eastAsia"/>
                <w:sz w:val="22"/>
                <w:szCs w:val="22"/>
              </w:rPr>
              <w:t xml:space="preserve"> </w:t>
            </w:r>
            <w:r w:rsidRPr="00C9554F">
              <w:rPr>
                <w:sz w:val="22"/>
                <w:szCs w:val="22"/>
              </w:rPr>
              <w:t>59.90</w:t>
            </w:r>
          </w:p>
        </w:tc>
        <w:tc>
          <w:tcPr>
            <w:tcW w:w="891" w:type="dxa"/>
            <w:vAlign w:val="center"/>
          </w:tcPr>
          <w:p w14:paraId="5137385C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0.056</w:t>
            </w:r>
          </w:p>
        </w:tc>
      </w:tr>
      <w:tr w:rsidR="00774B14" w:rsidRPr="00C9554F" w14:paraId="51727782" w14:textId="77777777" w:rsidTr="00B258A0">
        <w:trPr>
          <w:trHeight w:val="651"/>
          <w:jc w:val="center"/>
        </w:trPr>
        <w:tc>
          <w:tcPr>
            <w:tcW w:w="1276" w:type="dxa"/>
            <w:vAlign w:val="center"/>
          </w:tcPr>
          <w:p w14:paraId="37477AEB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  <w:lang w:val="de-DE"/>
              </w:rPr>
            </w:pPr>
            <w:r w:rsidRPr="00C9554F">
              <w:rPr>
                <w:rFonts w:hint="eastAsia"/>
                <w:sz w:val="22"/>
                <w:szCs w:val="22"/>
                <w:lang w:val="de-DE"/>
              </w:rPr>
              <w:t>q</w:t>
            </w:r>
            <w:r w:rsidRPr="00C9554F">
              <w:rPr>
                <w:sz w:val="22"/>
                <w:szCs w:val="22"/>
                <w:lang w:val="de-DE"/>
              </w:rPr>
              <w:t>HBsAg</w:t>
            </w:r>
          </w:p>
          <w:p w14:paraId="4C436AED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  <w:lang w:val="de-DE"/>
              </w:rPr>
            </w:pPr>
            <w:r w:rsidRPr="00C9554F">
              <w:rPr>
                <w:sz w:val="22"/>
                <w:szCs w:val="22"/>
                <w:lang w:val="de-DE"/>
              </w:rPr>
              <w:t>(</w:t>
            </w:r>
            <w:r w:rsidRPr="00C9554F">
              <w:rPr>
                <w:rFonts w:hint="eastAsia"/>
                <w:sz w:val="22"/>
                <w:szCs w:val="22"/>
                <w:lang w:val="de-DE"/>
              </w:rPr>
              <w:t xml:space="preserve">log10 </w:t>
            </w:r>
            <w:r w:rsidRPr="00C9554F">
              <w:rPr>
                <w:sz w:val="22"/>
                <w:szCs w:val="22"/>
                <w:lang w:val="de-DE"/>
              </w:rPr>
              <w:t>IU/mL)</w:t>
            </w:r>
          </w:p>
        </w:tc>
        <w:tc>
          <w:tcPr>
            <w:tcW w:w="1559" w:type="dxa"/>
            <w:vAlign w:val="center"/>
          </w:tcPr>
          <w:p w14:paraId="5169F2F8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3.05 (2.78,3.27)</w:t>
            </w:r>
          </w:p>
        </w:tc>
        <w:tc>
          <w:tcPr>
            <w:tcW w:w="1560" w:type="dxa"/>
            <w:vAlign w:val="center"/>
          </w:tcPr>
          <w:p w14:paraId="689AEB02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3.16</w:t>
            </w:r>
          </w:p>
          <w:p w14:paraId="1A36A08B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(2.88,3.30)</w:t>
            </w:r>
          </w:p>
        </w:tc>
        <w:tc>
          <w:tcPr>
            <w:tcW w:w="850" w:type="dxa"/>
            <w:vAlign w:val="center"/>
          </w:tcPr>
          <w:p w14:paraId="3CB9AECA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-0.136</w:t>
            </w:r>
          </w:p>
        </w:tc>
        <w:tc>
          <w:tcPr>
            <w:tcW w:w="1559" w:type="dxa"/>
            <w:vAlign w:val="center"/>
          </w:tcPr>
          <w:p w14:paraId="3A73615C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 xml:space="preserve">3.05 </w:t>
            </w:r>
          </w:p>
          <w:p w14:paraId="776AE86D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(2.78,3.27)</w:t>
            </w:r>
          </w:p>
        </w:tc>
        <w:tc>
          <w:tcPr>
            <w:tcW w:w="1701" w:type="dxa"/>
            <w:vAlign w:val="center"/>
          </w:tcPr>
          <w:p w14:paraId="5B638DEA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3.15</w:t>
            </w:r>
          </w:p>
          <w:p w14:paraId="15482EA4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(2.56,3.30)</w:t>
            </w:r>
          </w:p>
        </w:tc>
        <w:tc>
          <w:tcPr>
            <w:tcW w:w="891" w:type="dxa"/>
            <w:vAlign w:val="center"/>
          </w:tcPr>
          <w:p w14:paraId="0D31FAE2" w14:textId="77777777" w:rsidR="00774B14" w:rsidRPr="00C9554F" w:rsidRDefault="00774B14" w:rsidP="00B258A0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C9554F">
              <w:rPr>
                <w:sz w:val="22"/>
                <w:szCs w:val="22"/>
              </w:rPr>
              <w:t>-0.010</w:t>
            </w:r>
          </w:p>
        </w:tc>
      </w:tr>
    </w:tbl>
    <w:bookmarkEnd w:id="4"/>
    <w:p w14:paraId="2F5F940A" w14:textId="77777777" w:rsidR="00774B14" w:rsidRPr="00C9554F" w:rsidRDefault="00774B14" w:rsidP="00774B14">
      <w:pPr>
        <w:spacing w:after="0" w:line="360" w:lineRule="auto"/>
        <w:jc w:val="both"/>
        <w:rPr>
          <w:sz w:val="22"/>
          <w:szCs w:val="22"/>
        </w:rPr>
      </w:pPr>
      <w:r w:rsidRPr="00C9554F">
        <w:rPr>
          <w:sz w:val="22"/>
          <w:szCs w:val="22"/>
        </w:rPr>
        <w:t>Note</w:t>
      </w:r>
      <w:r w:rsidRPr="00C9554F">
        <w:rPr>
          <w:rFonts w:hint="eastAsia"/>
          <w:sz w:val="22"/>
          <w:szCs w:val="22"/>
        </w:rPr>
        <w:t xml:space="preserve">: </w:t>
      </w:r>
      <w:r w:rsidRPr="00C9554F">
        <w:rPr>
          <w:sz w:val="22"/>
          <w:szCs w:val="22"/>
        </w:rPr>
        <w:t xml:space="preserve">Data are presented as mean ± standard deviation (SD) or median (interquartile range) as appropriate. </w:t>
      </w:r>
    </w:p>
    <w:p w14:paraId="00BF06FF" w14:textId="77777777" w:rsidR="00774B14" w:rsidRPr="00C9554F" w:rsidRDefault="00774B14" w:rsidP="00774B14">
      <w:pPr>
        <w:spacing w:line="480" w:lineRule="auto"/>
        <w:jc w:val="both"/>
        <w:rPr>
          <w:sz w:val="22"/>
          <w:szCs w:val="22"/>
        </w:rPr>
      </w:pPr>
      <w:r w:rsidRPr="00C9554F">
        <w:rPr>
          <w:noProof/>
          <w:sz w:val="22"/>
          <w:szCs w:val="22"/>
        </w:rPr>
        <w:drawing>
          <wp:inline distT="0" distB="0" distL="0" distR="0" wp14:anchorId="7E96F9BF" wp14:editId="00F801DC">
            <wp:extent cx="5274310" cy="3154180"/>
            <wp:effectExtent l="0" t="0" r="2540" b="8255"/>
            <wp:docPr id="19586956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95620" name="图片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C236D" w14:textId="77777777" w:rsidR="00774B14" w:rsidRPr="00C9554F" w:rsidRDefault="00774B14" w:rsidP="00774B14">
      <w:pPr>
        <w:spacing w:after="0" w:line="360" w:lineRule="auto"/>
        <w:jc w:val="center"/>
        <w:rPr>
          <w:b/>
          <w:bCs/>
        </w:rPr>
      </w:pPr>
      <w:r w:rsidRPr="00C9554F">
        <w:rPr>
          <w:b/>
          <w:bCs/>
        </w:rPr>
        <w:lastRenderedPageBreak/>
        <w:t>Fig</w:t>
      </w:r>
      <w:r w:rsidRPr="00C9554F">
        <w:rPr>
          <w:rFonts w:hint="eastAsia"/>
          <w:b/>
          <w:bCs/>
        </w:rPr>
        <w:t>.</w:t>
      </w:r>
      <w:r w:rsidRPr="00C9554F">
        <w:rPr>
          <w:b/>
          <w:bCs/>
        </w:rPr>
        <w:t xml:space="preserve"> S2. Love plot</w:t>
      </w:r>
    </w:p>
    <w:p w14:paraId="2467EEAF" w14:textId="77777777" w:rsidR="00774B14" w:rsidRPr="00C9554F" w:rsidRDefault="00774B14" w:rsidP="00774B14">
      <w:pPr>
        <w:spacing w:line="480" w:lineRule="auto"/>
        <w:jc w:val="center"/>
        <w:rPr>
          <w:sz w:val="22"/>
          <w:szCs w:val="22"/>
        </w:rPr>
      </w:pPr>
      <w:r w:rsidRPr="00C9554F">
        <w:rPr>
          <w:noProof/>
          <w:sz w:val="22"/>
          <w:szCs w:val="22"/>
        </w:rPr>
        <w:drawing>
          <wp:inline distT="0" distB="0" distL="0" distR="0" wp14:anchorId="456C16EF" wp14:editId="5EB8A9A3">
            <wp:extent cx="4737624" cy="3153278"/>
            <wp:effectExtent l="0" t="0" r="6350" b="9525"/>
            <wp:docPr id="21023262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326236" name="图片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7624" cy="315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D867D" w14:textId="423C6599" w:rsidR="0067415F" w:rsidRPr="00774B14" w:rsidRDefault="00774B14" w:rsidP="00774B14">
      <w:r w:rsidRPr="00C9554F">
        <w:rPr>
          <w:b/>
          <w:bCs/>
        </w:rPr>
        <w:t>Fig</w:t>
      </w:r>
      <w:r w:rsidRPr="00C9554F">
        <w:rPr>
          <w:rFonts w:hint="eastAsia"/>
          <w:b/>
          <w:bCs/>
        </w:rPr>
        <w:t>.</w:t>
      </w:r>
      <w:r w:rsidRPr="00C9554F">
        <w:rPr>
          <w:b/>
          <w:bCs/>
        </w:rPr>
        <w:t xml:space="preserve"> S3. Propensity</w:t>
      </w:r>
      <w:r w:rsidRPr="00C9554F">
        <w:t>-</w:t>
      </w:r>
      <w:r w:rsidRPr="00C9554F">
        <w:rPr>
          <w:b/>
          <w:bCs/>
        </w:rPr>
        <w:t>score distributions</w:t>
      </w:r>
      <w:r w:rsidRPr="00C9554F">
        <w:rPr>
          <w:b/>
          <w:bCs/>
        </w:rPr>
        <w:br w:type="page"/>
      </w:r>
    </w:p>
    <w:sectPr w:rsidR="0067415F" w:rsidRPr="00774B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A4"/>
    <w:rsid w:val="00231072"/>
    <w:rsid w:val="002C42A4"/>
    <w:rsid w:val="004244E6"/>
    <w:rsid w:val="004D00A8"/>
    <w:rsid w:val="005A148B"/>
    <w:rsid w:val="0067415F"/>
    <w:rsid w:val="00774B14"/>
    <w:rsid w:val="00EE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F553B-682C-4050-8A17-27199799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2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2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2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2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2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2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2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2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2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2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2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30C2"/>
    <w:pPr>
      <w:spacing w:after="0" w:line="240" w:lineRule="auto"/>
    </w:pPr>
    <w:rPr>
      <w:rFonts w:ascii="Times New Roman" w:eastAsia="SimSun" w:hAnsi="Times New Roman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2026-07-11T13:09:00Z</dcterms:created>
  <dcterms:modified xsi:type="dcterms:W3CDTF">2026-07-22T07:20:00Z</dcterms:modified>
</cp:coreProperties>
</file>