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A2B1" w14:textId="09C2EA1D" w:rsidR="00443116" w:rsidRPr="00A90BBF" w:rsidRDefault="00443116" w:rsidP="00443116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A90BBF">
        <w:rPr>
          <w:rFonts w:ascii="Times New Roman" w:hAnsi="Times New Roman"/>
          <w:b/>
          <w:bCs/>
          <w:sz w:val="22"/>
          <w:szCs w:val="22"/>
        </w:rPr>
        <w:t>S</w:t>
      </w:r>
      <w:r w:rsidRPr="00A90BBF">
        <w:rPr>
          <w:rFonts w:ascii="Times New Roman" w:hAnsi="Times New Roman" w:hint="eastAsia"/>
          <w:b/>
          <w:bCs/>
          <w:sz w:val="22"/>
          <w:szCs w:val="22"/>
        </w:rPr>
        <w:t>upplementa</w:t>
      </w:r>
      <w:r w:rsidR="001B1B7B">
        <w:rPr>
          <w:rFonts w:ascii="Times New Roman" w:hAnsi="Times New Roman" w:hint="eastAsia"/>
          <w:b/>
          <w:bCs/>
          <w:sz w:val="22"/>
          <w:szCs w:val="22"/>
        </w:rPr>
        <w:t>ry</w:t>
      </w:r>
      <w:r w:rsidRPr="00A90BBF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</w:t>
      </w:r>
      <w:r w:rsidRPr="00A90BBF">
        <w:rPr>
          <w:rFonts w:ascii="Times New Roman" w:hAnsi="Times New Roman"/>
          <w:b/>
          <w:bCs/>
          <w:sz w:val="22"/>
          <w:szCs w:val="22"/>
        </w:rPr>
        <w:t>ethods</w:t>
      </w:r>
    </w:p>
    <w:p w14:paraId="229D6959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Biochemical analysis</w:t>
      </w:r>
    </w:p>
    <w:p w14:paraId="0BDF375A" w14:textId="49D0031A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>Blood samples were kept at 4°C for 2 h</w:t>
      </w:r>
      <w:r>
        <w:rPr>
          <w:rFonts w:ascii="Times New Roman" w:hAnsi="Times New Roman"/>
          <w:sz w:val="22"/>
          <w:szCs w:val="22"/>
        </w:rPr>
        <w:t>.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Pr="00A90BBF">
        <w:rPr>
          <w:rFonts w:ascii="Times New Roman" w:hAnsi="Times New Roman"/>
          <w:sz w:val="22"/>
          <w:szCs w:val="22"/>
        </w:rPr>
        <w:t xml:space="preserve">hen serum was collected </w:t>
      </w:r>
      <w:r>
        <w:rPr>
          <w:rFonts w:ascii="Times New Roman" w:hAnsi="Times New Roman"/>
          <w:sz w:val="22"/>
          <w:szCs w:val="22"/>
        </w:rPr>
        <w:t>by</w:t>
      </w:r>
      <w:r w:rsidRPr="00A90BBF">
        <w:rPr>
          <w:rFonts w:ascii="Times New Roman" w:hAnsi="Times New Roman"/>
          <w:sz w:val="22"/>
          <w:szCs w:val="22"/>
        </w:rPr>
        <w:t xml:space="preserve"> centrifugation at 6000</w:t>
      </w:r>
      <w:r>
        <w:rPr>
          <w:rFonts w:ascii="Times New Roman" w:hAnsi="Times New Roman"/>
          <w:sz w:val="22"/>
          <w:szCs w:val="22"/>
        </w:rPr>
        <w:t> rpm</w:t>
      </w:r>
      <w:r w:rsidRPr="00A90BBF">
        <w:rPr>
          <w:rFonts w:ascii="Times New Roman" w:hAnsi="Times New Roman"/>
          <w:sz w:val="22"/>
          <w:szCs w:val="22"/>
        </w:rPr>
        <w:t xml:space="preserve"> for 10</w:t>
      </w:r>
      <w:r>
        <w:rPr>
          <w:rFonts w:ascii="Times New Roman" w:hAnsi="Times New Roman"/>
          <w:sz w:val="22"/>
          <w:szCs w:val="22"/>
        </w:rPr>
        <w:t> m.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Liver tissue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A90BBF">
        <w:rPr>
          <w:rFonts w:ascii="Times New Roman" w:hAnsi="Times New Roman"/>
          <w:sz w:val="22"/>
          <w:szCs w:val="22"/>
        </w:rPr>
        <w:t>0.5</w:t>
      </w:r>
      <w:r>
        <w:rPr>
          <w:rFonts w:ascii="Times New Roman" w:hAnsi="Times New Roman"/>
          <w:sz w:val="22"/>
          <w:szCs w:val="22"/>
        </w:rPr>
        <w:t> g)</w:t>
      </w:r>
      <w:r w:rsidRPr="00A90BBF">
        <w:rPr>
          <w:rFonts w:ascii="Times New Roman" w:hAnsi="Times New Roman"/>
          <w:sz w:val="22"/>
          <w:szCs w:val="22"/>
        </w:rPr>
        <w:t xml:space="preserve"> was homogenized with 1% Triton 100 and lysed on ice for 1 h. The supernatant was obtained by centrifugation at 12000</w:t>
      </w:r>
      <w:r>
        <w:rPr>
          <w:rFonts w:ascii="Times New Roman" w:hAnsi="Times New Roman"/>
          <w:sz w:val="22"/>
          <w:szCs w:val="22"/>
        </w:rPr>
        <w:t xml:space="preserve"> rpm </w:t>
      </w:r>
      <w:r w:rsidRPr="00A90BBF">
        <w:rPr>
          <w:rFonts w:ascii="Times New Roman" w:hAnsi="Times New Roman"/>
          <w:sz w:val="22"/>
          <w:szCs w:val="22"/>
        </w:rPr>
        <w:t xml:space="preserve">for 10 min. </w:t>
      </w:r>
      <w:r w:rsidR="007A7638">
        <w:rPr>
          <w:rFonts w:ascii="Times New Roman" w:hAnsi="Times New Roman"/>
          <w:sz w:val="22"/>
          <w:szCs w:val="22"/>
        </w:rPr>
        <w:t>Serum content of aspartate aminotransferase (AST) w</w:t>
      </w:r>
      <w:r w:rsidR="007A7638">
        <w:rPr>
          <w:rFonts w:ascii="Times New Roman" w:hAnsi="Times New Roman" w:hint="eastAsia"/>
          <w:sz w:val="22"/>
          <w:szCs w:val="22"/>
        </w:rPr>
        <w:t>as</w:t>
      </w:r>
      <w:r w:rsidR="007A7638">
        <w:rPr>
          <w:rFonts w:ascii="Times New Roman" w:hAnsi="Times New Roman"/>
          <w:sz w:val="22"/>
          <w:szCs w:val="22"/>
        </w:rPr>
        <w:t xml:space="preserve"> detected by</w:t>
      </w:r>
      <w:r w:rsidR="007A7638">
        <w:rPr>
          <w:rFonts w:ascii="Times New Roman" w:hAnsi="Times New Roman" w:hint="eastAsia"/>
          <w:sz w:val="22"/>
          <w:szCs w:val="22"/>
        </w:rPr>
        <w:t xml:space="preserve"> </w:t>
      </w:r>
      <w:r w:rsidR="007A7638">
        <w:rPr>
          <w:rFonts w:ascii="Times New Roman" w:hAnsi="Times New Roman"/>
          <w:sz w:val="22"/>
          <w:szCs w:val="22"/>
        </w:rPr>
        <w:t xml:space="preserve">a </w:t>
      </w:r>
      <w:r w:rsidR="007A7638" w:rsidRPr="00E06DE6">
        <w:rPr>
          <w:rFonts w:ascii="Times New Roman" w:hAnsi="Times New Roman"/>
          <w:sz w:val="22"/>
          <w:szCs w:val="22"/>
        </w:rPr>
        <w:t xml:space="preserve">Hitachi Automatic Biochemical Analyzer 7180 (Hitachi, Yokohama, </w:t>
      </w:r>
      <w:bookmarkStart w:id="0" w:name="_Hlk95235003"/>
      <w:r w:rsidR="007A7638" w:rsidRPr="00E06DE6">
        <w:rPr>
          <w:rFonts w:ascii="Times New Roman" w:hAnsi="Times New Roman"/>
          <w:sz w:val="22"/>
          <w:szCs w:val="22"/>
        </w:rPr>
        <w:t>Japan</w:t>
      </w:r>
      <w:bookmarkEnd w:id="0"/>
      <w:r w:rsidR="007A7638" w:rsidRPr="00E06DE6">
        <w:rPr>
          <w:rFonts w:ascii="Times New Roman" w:hAnsi="Times New Roman"/>
          <w:sz w:val="22"/>
          <w:szCs w:val="22"/>
        </w:rPr>
        <w:t>)</w:t>
      </w:r>
      <w:r w:rsidR="007A7638">
        <w:rPr>
          <w:rFonts w:ascii="Times New Roman" w:hAnsi="Times New Roman"/>
          <w:sz w:val="22"/>
          <w:szCs w:val="22"/>
        </w:rPr>
        <w:t>.</w:t>
      </w:r>
      <w:r w:rsidRPr="00A90BBF">
        <w:rPr>
          <w:rFonts w:ascii="Times New Roman" w:hAnsi="Times New Roman"/>
          <w:sz w:val="22"/>
          <w:szCs w:val="22"/>
        </w:rPr>
        <w:t xml:space="preserve"> Serum low-density lipoprotein cholesterol (LDL-C</w:t>
      </w:r>
      <w:r>
        <w:rPr>
          <w:rFonts w:ascii="Times New Roman" w:hAnsi="Times New Roman"/>
          <w:sz w:val="22"/>
          <w:szCs w:val="22"/>
        </w:rPr>
        <w:t>)</w:t>
      </w:r>
      <w:r w:rsidRPr="00A90BBF">
        <w:rPr>
          <w:rFonts w:ascii="Times New Roman" w:hAnsi="Times New Roman"/>
          <w:sz w:val="22"/>
          <w:szCs w:val="22"/>
        </w:rPr>
        <w:t>, and high</w:t>
      </w:r>
      <w:r>
        <w:rPr>
          <w:rFonts w:ascii="Times New Roman" w:hAnsi="Times New Roman"/>
          <w:sz w:val="22"/>
          <w:szCs w:val="22"/>
        </w:rPr>
        <w:t>-density</w:t>
      </w:r>
      <w:r w:rsidRPr="00A90BBF">
        <w:rPr>
          <w:rFonts w:ascii="Times New Roman" w:hAnsi="Times New Roman"/>
          <w:sz w:val="22"/>
          <w:szCs w:val="22"/>
        </w:rPr>
        <w:t xml:space="preserve"> lip</w:t>
      </w:r>
      <w:r>
        <w:rPr>
          <w:rFonts w:ascii="Times New Roman" w:hAnsi="Times New Roman"/>
          <w:sz w:val="22"/>
          <w:szCs w:val="22"/>
        </w:rPr>
        <w:t>opro</w:t>
      </w:r>
      <w:r w:rsidRPr="00A90BBF">
        <w:rPr>
          <w:rFonts w:ascii="Times New Roman" w:hAnsi="Times New Roman"/>
          <w:sz w:val="22"/>
          <w:szCs w:val="22"/>
        </w:rPr>
        <w:t>tein cholesterol (HDL-C</w:t>
      </w:r>
      <w:r>
        <w:rPr>
          <w:rFonts w:ascii="Times New Roman" w:hAnsi="Times New Roman"/>
          <w:sz w:val="22"/>
          <w:szCs w:val="22"/>
        </w:rPr>
        <w:t>)</w:t>
      </w:r>
      <w:r w:rsidRPr="00A90BBF">
        <w:rPr>
          <w:rFonts w:ascii="Times New Roman" w:hAnsi="Times New Roman"/>
          <w:sz w:val="22"/>
          <w:szCs w:val="22"/>
        </w:rPr>
        <w:t xml:space="preserve"> were </w:t>
      </w:r>
      <w:r>
        <w:rPr>
          <w:rFonts w:ascii="Times New Roman" w:hAnsi="Times New Roman"/>
          <w:sz w:val="22"/>
          <w:szCs w:val="22"/>
        </w:rPr>
        <w:t>assayed</w:t>
      </w:r>
      <w:r w:rsidRPr="00A90BBF">
        <w:rPr>
          <w:rFonts w:ascii="Times New Roman" w:hAnsi="Times New Roman"/>
          <w:sz w:val="22"/>
          <w:szCs w:val="22"/>
        </w:rPr>
        <w:t xml:space="preserve"> with </w:t>
      </w:r>
      <w:r>
        <w:rPr>
          <w:rFonts w:ascii="Times New Roman" w:hAnsi="Times New Roman"/>
          <w:sz w:val="22"/>
          <w:szCs w:val="22"/>
        </w:rPr>
        <w:t>commercial kits (</w:t>
      </w:r>
      <w:r w:rsidRPr="00A90BBF">
        <w:rPr>
          <w:rFonts w:ascii="Times New Roman" w:hAnsi="Times New Roman"/>
          <w:sz w:val="22"/>
          <w:szCs w:val="22"/>
        </w:rPr>
        <w:t>A112-1-1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A90BBF">
        <w:rPr>
          <w:rFonts w:ascii="Times New Roman" w:hAnsi="Times New Roman"/>
          <w:sz w:val="22"/>
          <w:szCs w:val="22"/>
        </w:rPr>
        <w:t>A11</w:t>
      </w:r>
      <w:r>
        <w:rPr>
          <w:rFonts w:ascii="Times New Roman" w:hAnsi="Times New Roman"/>
          <w:sz w:val="22"/>
          <w:szCs w:val="22"/>
        </w:rPr>
        <w:t>3</w:t>
      </w:r>
      <w:r w:rsidRPr="00A90BBF">
        <w:rPr>
          <w:rFonts w:ascii="Times New Roman" w:hAnsi="Times New Roman"/>
          <w:sz w:val="22"/>
          <w:szCs w:val="22"/>
        </w:rPr>
        <w:t>-1-1</w:t>
      </w:r>
      <w:r>
        <w:rPr>
          <w:rFonts w:ascii="Times New Roman" w:hAnsi="Times New Roman"/>
          <w:sz w:val="22"/>
          <w:szCs w:val="22"/>
        </w:rPr>
        <w:t xml:space="preserve">; </w:t>
      </w:r>
      <w:r w:rsidRPr="00A90BBF">
        <w:rPr>
          <w:rFonts w:ascii="Times New Roman" w:hAnsi="Times New Roman"/>
          <w:sz w:val="22"/>
          <w:szCs w:val="22"/>
        </w:rPr>
        <w:t xml:space="preserve">Nanjing </w:t>
      </w:r>
      <w:proofErr w:type="spellStart"/>
      <w:r w:rsidRPr="00A90BBF">
        <w:rPr>
          <w:rFonts w:ascii="Times New Roman" w:hAnsi="Times New Roman"/>
          <w:sz w:val="22"/>
          <w:szCs w:val="22"/>
        </w:rPr>
        <w:t>Jiancheng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Bio</w:t>
      </w:r>
      <w:r w:rsidR="007A7638">
        <w:rPr>
          <w:rFonts w:ascii="Times New Roman" w:hAnsi="Times New Roman"/>
          <w:sz w:val="22"/>
          <w:szCs w:val="22"/>
        </w:rPr>
        <w:t>,</w:t>
      </w:r>
      <w:r w:rsidR="007A7638" w:rsidRPr="00CA35F5">
        <w:t xml:space="preserve"> </w:t>
      </w:r>
      <w:bookmarkStart w:id="1" w:name="_Hlk95234564"/>
      <w:r w:rsidR="007A7638" w:rsidRPr="00CA35F5">
        <w:rPr>
          <w:rFonts w:ascii="Times New Roman" w:hAnsi="Times New Roman"/>
          <w:sz w:val="22"/>
          <w:szCs w:val="22"/>
        </w:rPr>
        <w:t>Nanjing, China</w:t>
      </w:r>
      <w:bookmarkEnd w:id="1"/>
      <w:r>
        <w:rPr>
          <w:rFonts w:ascii="Times New Roman" w:hAnsi="Times New Roman"/>
          <w:sz w:val="22"/>
          <w:szCs w:val="22"/>
        </w:rPr>
        <w:t>) following</w:t>
      </w:r>
      <w:r w:rsidRPr="00A90BBF">
        <w:rPr>
          <w:rFonts w:ascii="Times New Roman" w:hAnsi="Times New Roman"/>
          <w:sz w:val="22"/>
          <w:szCs w:val="22"/>
        </w:rPr>
        <w:t xml:space="preserve"> the manufacturer's instructions.</w:t>
      </w:r>
    </w:p>
    <w:p w14:paraId="0D5B3E22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2" w:name="OLE_LINK45"/>
    </w:p>
    <w:p w14:paraId="006B47F1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Extraction of </w:t>
      </w:r>
      <w:bookmarkStart w:id="3" w:name="OLE_LINK34"/>
      <w:bookmarkStart w:id="4" w:name="_Hlk78229907"/>
      <w:proofErr w:type="spellStart"/>
      <w:r w:rsidRPr="00431E54">
        <w:rPr>
          <w:rFonts w:ascii="Times New Roman" w:hAnsi="Times New Roman"/>
          <w:b/>
          <w:i/>
          <w:iCs/>
          <w:sz w:val="22"/>
          <w:szCs w:val="22"/>
        </w:rPr>
        <w:t>Quzhi</w:t>
      </w:r>
      <w:proofErr w:type="spellEnd"/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 formula</w:t>
      </w:r>
      <w:bookmarkEnd w:id="2"/>
      <w:bookmarkEnd w:id="3"/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bookmarkEnd w:id="4"/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and </w:t>
      </w:r>
      <w:bookmarkStart w:id="5" w:name="_Hlk78416886"/>
      <w:proofErr w:type="spellStart"/>
      <w:r w:rsidRPr="00431E54">
        <w:rPr>
          <w:rFonts w:ascii="Times New Roman" w:hAnsi="Times New Roman"/>
          <w:b/>
          <w:i/>
          <w:iCs/>
          <w:sz w:val="22"/>
          <w:szCs w:val="22"/>
        </w:rPr>
        <w:t>Quzhi</w:t>
      </w:r>
      <w:proofErr w:type="spellEnd"/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 formula granules</w:t>
      </w:r>
      <w:bookmarkEnd w:id="5"/>
    </w:p>
    <w:p w14:paraId="2EB394C3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431E54">
        <w:rPr>
          <w:rFonts w:ascii="Times New Roman" w:hAnsi="Times New Roman"/>
          <w:i/>
          <w:iCs/>
          <w:sz w:val="22"/>
          <w:szCs w:val="22"/>
        </w:rPr>
        <w:t xml:space="preserve">Polygonum </w:t>
      </w:r>
      <w:proofErr w:type="spellStart"/>
      <w:r w:rsidRPr="00431E54">
        <w:rPr>
          <w:rFonts w:ascii="Times New Roman" w:hAnsi="Times New Roman"/>
          <w:i/>
          <w:iCs/>
          <w:sz w:val="22"/>
          <w:szCs w:val="22"/>
        </w:rPr>
        <w:t>cuspidatum</w:t>
      </w:r>
      <w:proofErr w:type="spellEnd"/>
      <w:r w:rsidRPr="00431E54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431E54">
        <w:rPr>
          <w:rFonts w:ascii="Times New Roman" w:hAnsi="Times New Roman"/>
          <w:i/>
          <w:iCs/>
          <w:sz w:val="22"/>
          <w:szCs w:val="22"/>
        </w:rPr>
        <w:t>Cassiae</w:t>
      </w:r>
      <w:proofErr w:type="spellEnd"/>
      <w:r w:rsidRPr="00431E54">
        <w:rPr>
          <w:rFonts w:ascii="Times New Roman" w:hAnsi="Times New Roman"/>
          <w:i/>
          <w:iCs/>
          <w:sz w:val="22"/>
          <w:szCs w:val="22"/>
        </w:rPr>
        <w:t xml:space="preserve"> semen,</w:t>
      </w:r>
      <w:r w:rsidRPr="00A90BBF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431E54">
        <w:rPr>
          <w:rFonts w:ascii="Times New Roman" w:hAnsi="Times New Roman"/>
          <w:i/>
          <w:iCs/>
          <w:sz w:val="22"/>
          <w:szCs w:val="22"/>
        </w:rPr>
        <w:t>Crataegi</w:t>
      </w:r>
      <w:proofErr w:type="spellEnd"/>
      <w:r w:rsidRPr="00431E54">
        <w:rPr>
          <w:rFonts w:ascii="Times New Roman" w:hAnsi="Times New Roman"/>
          <w:i/>
          <w:iCs/>
          <w:sz w:val="22"/>
          <w:szCs w:val="22"/>
        </w:rPr>
        <w:t xml:space="preserve"> fructus</w:t>
      </w:r>
      <w:r w:rsidRPr="00A90BBF">
        <w:rPr>
          <w:rFonts w:ascii="Times New Roman" w:hAnsi="Times New Roman"/>
          <w:sz w:val="22"/>
          <w:szCs w:val="22"/>
        </w:rPr>
        <w:t xml:space="preserve"> were purchased from Shanghai Tong Ren Hospital. </w:t>
      </w:r>
      <w:r>
        <w:rPr>
          <w:rFonts w:ascii="Times New Roman" w:hAnsi="Times New Roman"/>
          <w:sz w:val="22"/>
          <w:szCs w:val="22"/>
        </w:rPr>
        <w:t>H</w:t>
      </w:r>
      <w:r w:rsidRPr="00A90BBF">
        <w:rPr>
          <w:rFonts w:ascii="Times New Roman" w:hAnsi="Times New Roman"/>
          <w:sz w:val="22"/>
          <w:szCs w:val="22"/>
        </w:rPr>
        <w:t xml:space="preserve">erbs decoction </w:t>
      </w:r>
      <w:r>
        <w:rPr>
          <w:rFonts w:ascii="Times New Roman" w:hAnsi="Times New Roman"/>
          <w:sz w:val="22"/>
          <w:szCs w:val="22"/>
        </w:rPr>
        <w:t xml:space="preserve">was performed </w:t>
      </w:r>
      <w:r w:rsidRPr="00A90BBF">
        <w:rPr>
          <w:rFonts w:ascii="Times New Roman" w:hAnsi="Times New Roman"/>
          <w:sz w:val="22"/>
          <w:szCs w:val="22"/>
        </w:rPr>
        <w:t>twice, the first add</w:t>
      </w:r>
      <w:r>
        <w:rPr>
          <w:rFonts w:ascii="Times New Roman" w:hAnsi="Times New Roman"/>
          <w:sz w:val="22"/>
          <w:szCs w:val="22"/>
        </w:rPr>
        <w:t>ed</w:t>
      </w:r>
      <w:r w:rsidRPr="00A90BBF">
        <w:rPr>
          <w:rFonts w:ascii="Times New Roman" w:hAnsi="Times New Roman"/>
          <w:sz w:val="22"/>
          <w:szCs w:val="22"/>
        </w:rPr>
        <w:t xml:space="preserve"> 10 times the amount of water </w:t>
      </w:r>
      <w:r>
        <w:rPr>
          <w:rFonts w:ascii="Times New Roman" w:hAnsi="Times New Roman"/>
          <w:sz w:val="22"/>
          <w:szCs w:val="22"/>
        </w:rPr>
        <w:t xml:space="preserve">with </w:t>
      </w:r>
      <w:r w:rsidRPr="00A90BBF">
        <w:rPr>
          <w:rFonts w:ascii="Times New Roman" w:hAnsi="Times New Roman"/>
          <w:sz w:val="22"/>
          <w:szCs w:val="22"/>
        </w:rPr>
        <w:t>decoction for 2 h, the second add</w:t>
      </w:r>
      <w:r>
        <w:rPr>
          <w:rFonts w:ascii="Times New Roman" w:hAnsi="Times New Roman"/>
          <w:sz w:val="22"/>
          <w:szCs w:val="22"/>
        </w:rPr>
        <w:t>ed</w:t>
      </w:r>
      <w:r w:rsidRPr="00A90BBF">
        <w:rPr>
          <w:rFonts w:ascii="Times New Roman" w:hAnsi="Times New Roman"/>
          <w:sz w:val="22"/>
          <w:szCs w:val="22"/>
        </w:rPr>
        <w:t xml:space="preserve"> 8 times the amount of water </w:t>
      </w:r>
      <w:r>
        <w:rPr>
          <w:rFonts w:ascii="Times New Roman" w:hAnsi="Times New Roman"/>
          <w:sz w:val="22"/>
          <w:szCs w:val="22"/>
        </w:rPr>
        <w:t xml:space="preserve">with </w:t>
      </w:r>
      <w:r w:rsidRPr="00A90BBF">
        <w:rPr>
          <w:rFonts w:ascii="Times New Roman" w:hAnsi="Times New Roman"/>
          <w:sz w:val="22"/>
          <w:szCs w:val="22"/>
        </w:rPr>
        <w:t>decoction for 1 h</w:t>
      </w:r>
      <w:r>
        <w:rPr>
          <w:rFonts w:ascii="Times New Roman" w:hAnsi="Times New Roman"/>
          <w:sz w:val="22"/>
          <w:szCs w:val="22"/>
        </w:rPr>
        <w:t>.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A90BBF">
        <w:rPr>
          <w:rFonts w:ascii="Times New Roman" w:hAnsi="Times New Roman"/>
          <w:sz w:val="22"/>
          <w:szCs w:val="22"/>
        </w:rPr>
        <w:t>filtrat</w:t>
      </w:r>
      <w:r>
        <w:rPr>
          <w:rFonts w:ascii="Times New Roman" w:hAnsi="Times New Roman"/>
          <w:sz w:val="22"/>
          <w:szCs w:val="22"/>
        </w:rPr>
        <w:t>es were combined and</w:t>
      </w:r>
      <w:r w:rsidRPr="00A90BBF">
        <w:rPr>
          <w:rFonts w:ascii="Times New Roman" w:hAnsi="Times New Roman"/>
          <w:sz w:val="22"/>
          <w:szCs w:val="22"/>
        </w:rPr>
        <w:t xml:space="preserve"> concentrated to a relative density of 1.10 ± 0.02. </w:t>
      </w:r>
      <w:r>
        <w:rPr>
          <w:rFonts w:ascii="Times New Roman" w:hAnsi="Times New Roman"/>
          <w:sz w:val="22"/>
          <w:szCs w:val="22"/>
        </w:rPr>
        <w:t>E</w:t>
      </w:r>
      <w:r w:rsidRPr="00A90BBF">
        <w:rPr>
          <w:rFonts w:ascii="Times New Roman" w:hAnsi="Times New Roman"/>
          <w:sz w:val="22"/>
          <w:szCs w:val="22"/>
        </w:rPr>
        <w:t xml:space="preserve">thanol </w:t>
      </w:r>
      <w:r>
        <w:rPr>
          <w:rFonts w:ascii="Times New Roman" w:hAnsi="Times New Roman"/>
          <w:sz w:val="22"/>
          <w:szCs w:val="22"/>
        </w:rPr>
        <w:t xml:space="preserve">was added </w:t>
      </w:r>
      <w:r w:rsidRPr="00A90BBF">
        <w:rPr>
          <w:rFonts w:ascii="Times New Roman" w:hAnsi="Times New Roman"/>
          <w:sz w:val="22"/>
          <w:szCs w:val="22"/>
        </w:rPr>
        <w:t>while stirring to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0BBF">
        <w:rPr>
          <w:rFonts w:ascii="Times New Roman" w:hAnsi="Times New Roman"/>
          <w:sz w:val="22"/>
          <w:szCs w:val="22"/>
        </w:rPr>
        <w:t>concentration of 60%</w:t>
      </w:r>
      <w:r>
        <w:rPr>
          <w:rFonts w:ascii="Times New Roman" w:hAnsi="Times New Roman"/>
          <w:sz w:val="22"/>
          <w:szCs w:val="22"/>
        </w:rPr>
        <w:t>.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supernatant was collected after</w:t>
      </w:r>
      <w:r w:rsidRPr="00A90BBF">
        <w:rPr>
          <w:rFonts w:ascii="Times New Roman" w:hAnsi="Times New Roman"/>
          <w:sz w:val="22"/>
          <w:szCs w:val="22"/>
        </w:rPr>
        <w:t xml:space="preserve"> 12 h</w:t>
      </w:r>
      <w:r>
        <w:rPr>
          <w:rFonts w:ascii="Times New Roman" w:hAnsi="Times New Roman"/>
          <w:sz w:val="22"/>
          <w:szCs w:val="22"/>
        </w:rPr>
        <w:t xml:space="preserve"> and the </w:t>
      </w:r>
      <w:r w:rsidRPr="00A90BBF">
        <w:rPr>
          <w:rFonts w:ascii="Times New Roman" w:hAnsi="Times New Roman"/>
          <w:sz w:val="22"/>
          <w:szCs w:val="22"/>
        </w:rPr>
        <w:t>2.08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0BBF">
        <w:rPr>
          <w:rFonts w:ascii="Times New Roman" w:hAnsi="Times New Roman"/>
          <w:sz w:val="22"/>
          <w:szCs w:val="22"/>
        </w:rPr>
        <w:t xml:space="preserve">g/ml crude herbal dose </w:t>
      </w:r>
      <w:r>
        <w:rPr>
          <w:rFonts w:ascii="Times New Roman" w:hAnsi="Times New Roman"/>
          <w:sz w:val="22"/>
          <w:szCs w:val="22"/>
        </w:rPr>
        <w:t xml:space="preserve">was </w:t>
      </w:r>
      <w:r w:rsidRPr="00A90BBF">
        <w:rPr>
          <w:rFonts w:ascii="Times New Roman" w:hAnsi="Times New Roman"/>
          <w:sz w:val="22"/>
          <w:szCs w:val="22"/>
        </w:rPr>
        <w:t>concentrate</w:t>
      </w:r>
      <w:r>
        <w:rPr>
          <w:rFonts w:ascii="Times New Roman" w:hAnsi="Times New Roman"/>
          <w:sz w:val="22"/>
          <w:szCs w:val="22"/>
        </w:rPr>
        <w:t>d</w:t>
      </w:r>
      <w:r w:rsidRPr="00A90BBF">
        <w:rPr>
          <w:rFonts w:ascii="Times New Roman" w:hAnsi="Times New Roman"/>
          <w:sz w:val="22"/>
          <w:szCs w:val="22"/>
        </w:rPr>
        <w:t xml:space="preserve"> and dr</w:t>
      </w:r>
      <w:r>
        <w:rPr>
          <w:rFonts w:ascii="Times New Roman" w:hAnsi="Times New Roman"/>
          <w:sz w:val="22"/>
          <w:szCs w:val="22"/>
        </w:rPr>
        <w:t>ied</w:t>
      </w:r>
      <w:r w:rsidRPr="00A90BBF">
        <w:rPr>
          <w:rFonts w:ascii="Times New Roman" w:hAnsi="Times New Roman"/>
          <w:sz w:val="22"/>
          <w:szCs w:val="22"/>
        </w:rPr>
        <w:t xml:space="preserve"> at 70</w:t>
      </w:r>
      <w:r>
        <w:rPr>
          <w:rFonts w:ascii="Times New Roman" w:hAnsi="Times New Roman"/>
          <w:sz w:val="22"/>
          <w:szCs w:val="22"/>
        </w:rPr>
        <w:t>-</w:t>
      </w:r>
      <w:r w:rsidRPr="00A90BBF">
        <w:rPr>
          <w:rFonts w:ascii="Times New Roman" w:hAnsi="Times New Roman"/>
          <w:sz w:val="22"/>
          <w:szCs w:val="22"/>
        </w:rPr>
        <w:t>80</w:t>
      </w:r>
      <w:r>
        <w:rPr>
          <w:rFonts w:ascii="Times New Roman" w:hAnsi="Times New Roman"/>
          <w:sz w:val="22"/>
          <w:szCs w:val="22"/>
        </w:rPr>
        <w:t>ºC,</w:t>
      </w:r>
      <w:r w:rsidRPr="00A90BBF">
        <w:rPr>
          <w:rFonts w:ascii="Times New Roman" w:hAnsi="Times New Roman"/>
          <w:sz w:val="22"/>
          <w:szCs w:val="22"/>
        </w:rPr>
        <w:t xml:space="preserve"> crush</w:t>
      </w:r>
      <w:r>
        <w:rPr>
          <w:rFonts w:ascii="Times New Roman" w:hAnsi="Times New Roman"/>
          <w:sz w:val="22"/>
          <w:szCs w:val="22"/>
        </w:rPr>
        <w:t>ed</w:t>
      </w:r>
      <w:r w:rsidRPr="00A90BB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mixed well with</w:t>
      </w:r>
      <w:r w:rsidRPr="00A90BBF">
        <w:rPr>
          <w:rFonts w:ascii="Times New Roman" w:hAnsi="Times New Roman"/>
          <w:sz w:val="22"/>
          <w:szCs w:val="22"/>
        </w:rPr>
        <w:t xml:space="preserve"> dextrin, </w:t>
      </w:r>
      <w:r>
        <w:rPr>
          <w:rFonts w:ascii="Times New Roman" w:hAnsi="Times New Roman"/>
          <w:sz w:val="22"/>
          <w:szCs w:val="22"/>
        </w:rPr>
        <w:t xml:space="preserve">and the </w:t>
      </w:r>
      <w:r w:rsidRPr="00A90BBF">
        <w:rPr>
          <w:rFonts w:ascii="Times New Roman" w:hAnsi="Times New Roman"/>
          <w:sz w:val="22"/>
          <w:szCs w:val="22"/>
        </w:rPr>
        <w:t xml:space="preserve">soft material </w:t>
      </w:r>
      <w:r>
        <w:rPr>
          <w:rFonts w:ascii="Times New Roman" w:hAnsi="Times New Roman"/>
          <w:sz w:val="22"/>
          <w:szCs w:val="22"/>
        </w:rPr>
        <w:t>was mixed with</w:t>
      </w:r>
      <w:r w:rsidRPr="00A90BBF">
        <w:rPr>
          <w:rFonts w:ascii="Times New Roman" w:hAnsi="Times New Roman"/>
          <w:sz w:val="22"/>
          <w:szCs w:val="22"/>
        </w:rPr>
        <w:t xml:space="preserve"> the right amount of ethanol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0BBF">
        <w:rPr>
          <w:rFonts w:ascii="Times New Roman" w:hAnsi="Times New Roman"/>
          <w:sz w:val="22"/>
          <w:szCs w:val="22"/>
        </w:rPr>
        <w:t>and granulate</w:t>
      </w:r>
      <w:r>
        <w:rPr>
          <w:rFonts w:ascii="Times New Roman" w:hAnsi="Times New Roman"/>
          <w:sz w:val="22"/>
          <w:szCs w:val="22"/>
        </w:rPr>
        <w:t>d</w:t>
      </w:r>
      <w:r w:rsidRPr="00A90BBF">
        <w:rPr>
          <w:rFonts w:ascii="Times New Roman" w:hAnsi="Times New Roman"/>
          <w:sz w:val="22"/>
          <w:szCs w:val="22"/>
        </w:rPr>
        <w:t>.</w:t>
      </w:r>
    </w:p>
    <w:p w14:paraId="3A5EB6C3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5E96257A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Selection of active ingredients</w:t>
      </w:r>
    </w:p>
    <w:p w14:paraId="4128982E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lastRenderedPageBreak/>
        <w:t xml:space="preserve">The TCMSP and BATMAN-TCM databases were search for the active ingredients in the herbal medicines of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formula. The oral bioavailability (OB) </w:t>
      </w:r>
      <w:r w:rsidRPr="000A55C5">
        <w:rPr>
          <w:rFonts w:ascii="Times New Roman" w:hAnsi="Times New Roman" w:hint="eastAsia"/>
          <w:sz w:val="22"/>
          <w:szCs w:val="22"/>
        </w:rPr>
        <w:t>≥</w:t>
      </w:r>
      <w:r w:rsidRPr="00A90BBF">
        <w:rPr>
          <w:rFonts w:ascii="Times New Roman" w:hAnsi="Times New Roman"/>
          <w:sz w:val="22"/>
          <w:szCs w:val="22"/>
        </w:rPr>
        <w:t xml:space="preserve">30% and drug-like properties (DL) </w:t>
      </w:r>
      <w:r w:rsidRPr="000A55C5">
        <w:rPr>
          <w:rFonts w:ascii="Times New Roman" w:hAnsi="Times New Roman" w:hint="eastAsia"/>
          <w:sz w:val="22"/>
          <w:szCs w:val="22"/>
        </w:rPr>
        <w:t>≥</w:t>
      </w:r>
      <w:r w:rsidRPr="00A90BBF">
        <w:rPr>
          <w:rFonts w:ascii="Times New Roman" w:hAnsi="Times New Roman"/>
          <w:sz w:val="22"/>
          <w:szCs w:val="22"/>
        </w:rPr>
        <w:t xml:space="preserve">0.18 identified from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A90BBF">
        <w:rPr>
          <w:rFonts w:ascii="Times New Roman" w:hAnsi="Times New Roman"/>
          <w:sz w:val="22"/>
          <w:szCs w:val="22"/>
        </w:rPr>
        <w:t xml:space="preserve">TCMSP were used as the reference for screening the candidate active ingredients of the formula. </w:t>
      </w:r>
      <w:r>
        <w:rPr>
          <w:rFonts w:ascii="Times New Roman" w:hAnsi="Times New Roman"/>
          <w:sz w:val="22"/>
          <w:szCs w:val="22"/>
        </w:rPr>
        <w:t>In addition</w:t>
      </w:r>
      <w:r w:rsidRPr="00A90BBF">
        <w:rPr>
          <w:rFonts w:ascii="Times New Roman" w:hAnsi="Times New Roman"/>
          <w:sz w:val="22"/>
          <w:szCs w:val="22"/>
        </w:rPr>
        <w:t>, several widely recognized chemical components were added by reviewing the literature.</w:t>
      </w:r>
    </w:p>
    <w:p w14:paraId="4D62F4E7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685A13BD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Screening for </w:t>
      </w:r>
      <w:bookmarkStart w:id="6" w:name="_Hlk78231807"/>
      <w:r w:rsidRPr="00431E54">
        <w:rPr>
          <w:rFonts w:ascii="Times New Roman" w:hAnsi="Times New Roman"/>
          <w:b/>
          <w:i/>
          <w:iCs/>
          <w:sz w:val="22"/>
          <w:szCs w:val="22"/>
        </w:rPr>
        <w:t>bioactive compound</w:t>
      </w:r>
      <w:bookmarkEnd w:id="6"/>
      <w:r w:rsidRPr="00431E54">
        <w:rPr>
          <w:rFonts w:ascii="Times New Roman" w:hAnsi="Times New Roman"/>
          <w:b/>
          <w:i/>
          <w:iCs/>
          <w:sz w:val="22"/>
          <w:szCs w:val="22"/>
        </w:rPr>
        <w:t>s and NASH-related targets</w:t>
      </w:r>
    </w:p>
    <w:p w14:paraId="62B420FC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>The bioactive compound targets of</w:t>
      </w:r>
      <w:r>
        <w:rPr>
          <w:rFonts w:ascii="Times New Roman" w:hAnsi="Times New Roman"/>
          <w:sz w:val="22"/>
          <w:szCs w:val="22"/>
        </w:rPr>
        <w:t xml:space="preserve"> the</w:t>
      </w:r>
      <w:r w:rsidRPr="00A90BBF">
        <w:rPr>
          <w:rFonts w:ascii="Times New Roman" w:hAnsi="Times New Roman"/>
          <w:sz w:val="22"/>
          <w:szCs w:val="22"/>
        </w:rPr>
        <w:t xml:space="preserve"> three herbs were searched </w:t>
      </w:r>
      <w:r>
        <w:rPr>
          <w:rFonts w:ascii="Times New Roman" w:hAnsi="Times New Roman"/>
          <w:sz w:val="22"/>
          <w:szCs w:val="22"/>
        </w:rPr>
        <w:t>in the</w:t>
      </w:r>
      <w:r w:rsidRPr="00A90BBF">
        <w:rPr>
          <w:rFonts w:ascii="Times New Roman" w:hAnsi="Times New Roman"/>
          <w:sz w:val="22"/>
          <w:szCs w:val="22"/>
        </w:rPr>
        <w:t xml:space="preserve"> TCMSP database platform. Based on the </w:t>
      </w:r>
      <w:proofErr w:type="spellStart"/>
      <w:r w:rsidRPr="00A90BBF">
        <w:rPr>
          <w:rFonts w:ascii="Times New Roman" w:hAnsi="Times New Roman"/>
          <w:sz w:val="22"/>
          <w:szCs w:val="22"/>
        </w:rPr>
        <w:t>UniProt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database, the full names of the target genes were converted into gene symbols, and the targets without corresponding gene names were deleted. The keywords "</w:t>
      </w:r>
      <w:r>
        <w:rPr>
          <w:rFonts w:ascii="Times New Roman" w:hAnsi="Times New Roman"/>
          <w:sz w:val="22"/>
          <w:szCs w:val="22"/>
        </w:rPr>
        <w:t>n</w:t>
      </w:r>
      <w:r w:rsidRPr="00A90BBF">
        <w:rPr>
          <w:rFonts w:ascii="Times New Roman" w:hAnsi="Times New Roman"/>
          <w:sz w:val="22"/>
          <w:szCs w:val="22"/>
        </w:rPr>
        <w:t>onalcoholic steatohepatitis</w:t>
      </w:r>
      <w:r>
        <w:rPr>
          <w:rFonts w:ascii="Times New Roman" w:hAnsi="Times New Roman"/>
          <w:sz w:val="22"/>
          <w:szCs w:val="22"/>
        </w:rPr>
        <w:t>,"</w:t>
      </w:r>
      <w:r w:rsidRPr="00A90BBF">
        <w:rPr>
          <w:rFonts w:ascii="Times New Roman" w:hAnsi="Times New Roman"/>
          <w:sz w:val="22"/>
          <w:szCs w:val="22"/>
        </w:rPr>
        <w:t xml:space="preserve"> "</w:t>
      </w:r>
      <w:r>
        <w:rPr>
          <w:rFonts w:ascii="Times New Roman" w:hAnsi="Times New Roman"/>
          <w:sz w:val="22"/>
          <w:szCs w:val="22"/>
        </w:rPr>
        <w:t>n</w:t>
      </w:r>
      <w:r w:rsidRPr="00A90BBF"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z w:val="22"/>
          <w:szCs w:val="22"/>
        </w:rPr>
        <w:t>alcoholic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 w:rsidRPr="00A90BBF">
        <w:rPr>
          <w:rFonts w:ascii="Times New Roman" w:hAnsi="Times New Roman"/>
          <w:sz w:val="22"/>
          <w:szCs w:val="22"/>
        </w:rPr>
        <w:t xml:space="preserve">atty </w:t>
      </w:r>
      <w:r>
        <w:rPr>
          <w:rFonts w:ascii="Times New Roman" w:hAnsi="Times New Roman"/>
          <w:sz w:val="22"/>
          <w:szCs w:val="22"/>
        </w:rPr>
        <w:t>l</w:t>
      </w:r>
      <w:r w:rsidRPr="00A90BBF">
        <w:rPr>
          <w:rFonts w:ascii="Times New Roman" w:hAnsi="Times New Roman"/>
          <w:sz w:val="22"/>
          <w:szCs w:val="22"/>
        </w:rPr>
        <w:t xml:space="preserve">iver </w:t>
      </w:r>
      <w:r>
        <w:rPr>
          <w:rFonts w:ascii="Times New Roman" w:hAnsi="Times New Roman"/>
          <w:sz w:val="22"/>
          <w:szCs w:val="22"/>
        </w:rPr>
        <w:t>d</w:t>
      </w:r>
      <w:r w:rsidRPr="00A90BBF">
        <w:rPr>
          <w:rFonts w:ascii="Times New Roman" w:hAnsi="Times New Roman"/>
          <w:sz w:val="22"/>
          <w:szCs w:val="22"/>
        </w:rPr>
        <w:t>isease</w:t>
      </w:r>
      <w:r>
        <w:rPr>
          <w:rFonts w:ascii="Times New Roman" w:hAnsi="Times New Roman"/>
          <w:sz w:val="22"/>
          <w:szCs w:val="22"/>
        </w:rPr>
        <w:t>,"</w:t>
      </w:r>
      <w:r w:rsidRPr="00A90BBF">
        <w:rPr>
          <w:rFonts w:ascii="Times New Roman" w:hAnsi="Times New Roman"/>
          <w:sz w:val="22"/>
          <w:szCs w:val="22"/>
        </w:rPr>
        <w:t xml:space="preserve"> and "hepatic steatosis" were used to search for NA</w:t>
      </w:r>
      <w:r w:rsidRPr="00A90BBF">
        <w:rPr>
          <w:rFonts w:ascii="Times New Roman" w:hAnsi="Times New Roman" w:hint="eastAsia"/>
          <w:sz w:val="22"/>
          <w:szCs w:val="22"/>
        </w:rPr>
        <w:t>SH</w:t>
      </w:r>
      <w:r w:rsidRPr="00A90BBF">
        <w:rPr>
          <w:rFonts w:ascii="Times New Roman" w:hAnsi="Times New Roman"/>
          <w:sz w:val="22"/>
          <w:szCs w:val="22"/>
        </w:rPr>
        <w:t xml:space="preserve">-related disease targets in the </w:t>
      </w:r>
      <w:proofErr w:type="spellStart"/>
      <w:r w:rsidRPr="00A90BBF">
        <w:rPr>
          <w:rFonts w:ascii="Times New Roman" w:hAnsi="Times New Roman"/>
          <w:sz w:val="22"/>
          <w:szCs w:val="22"/>
        </w:rPr>
        <w:t>GeneCards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and OMIM databases. Finally, </w:t>
      </w:r>
      <w:r>
        <w:rPr>
          <w:rFonts w:ascii="Times New Roman" w:hAnsi="Times New Roman"/>
          <w:sz w:val="22"/>
          <w:szCs w:val="22"/>
        </w:rPr>
        <w:t>t</w:t>
      </w:r>
      <w:r w:rsidRPr="00A90BBF">
        <w:rPr>
          <w:rFonts w:ascii="Times New Roman" w:hAnsi="Times New Roman"/>
          <w:sz w:val="22"/>
          <w:szCs w:val="22"/>
        </w:rPr>
        <w:t xml:space="preserve">he </w:t>
      </w:r>
      <w:proofErr w:type="spellStart"/>
      <w:r w:rsidRPr="00A90BBF">
        <w:rPr>
          <w:rFonts w:ascii="Times New Roman" w:hAnsi="Times New Roman"/>
          <w:sz w:val="22"/>
          <w:szCs w:val="22"/>
        </w:rPr>
        <w:t>UniProt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platform was used to restrict the target species to human and to obtain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formula-associated and NA</w:t>
      </w:r>
      <w:r w:rsidRPr="00A90BBF">
        <w:rPr>
          <w:rFonts w:ascii="Times New Roman" w:hAnsi="Times New Roman" w:hint="eastAsia"/>
          <w:sz w:val="22"/>
          <w:szCs w:val="22"/>
        </w:rPr>
        <w:t>SH</w:t>
      </w:r>
      <w:r w:rsidRPr="00A90BBF">
        <w:rPr>
          <w:rFonts w:ascii="Times New Roman" w:hAnsi="Times New Roman"/>
          <w:sz w:val="22"/>
          <w:szCs w:val="22"/>
        </w:rPr>
        <w:t>-related targets.</w:t>
      </w:r>
    </w:p>
    <w:p w14:paraId="33624FE5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5D9FD0B1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Construction of </w:t>
      </w:r>
      <w:proofErr w:type="gramStart"/>
      <w:r w:rsidRPr="00431E54">
        <w:rPr>
          <w:rFonts w:ascii="Times New Roman" w:hAnsi="Times New Roman"/>
          <w:b/>
          <w:i/>
          <w:iCs/>
          <w:sz w:val="22"/>
          <w:szCs w:val="22"/>
        </w:rPr>
        <w:t>a</w:t>
      </w:r>
      <w:proofErr w:type="gramEnd"/>
      <w:r w:rsidRPr="00431E54">
        <w:rPr>
          <w:rFonts w:ascii="Times New Roman" w:hAnsi="Times New Roman"/>
          <w:b/>
          <w:i/>
          <w:iCs/>
          <w:sz w:val="22"/>
          <w:szCs w:val="22"/>
        </w:rPr>
        <w:t xml:space="preserve"> herb-compound-target network</w:t>
      </w:r>
    </w:p>
    <w:p w14:paraId="57160199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 xml:space="preserve">The potential targets </w:t>
      </w:r>
      <w:r>
        <w:rPr>
          <w:rFonts w:ascii="Times New Roman" w:hAnsi="Times New Roman"/>
          <w:sz w:val="22"/>
          <w:szCs w:val="22"/>
        </w:rPr>
        <w:t>of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 w:rsidRPr="00A90BBF">
        <w:rPr>
          <w:rFonts w:ascii="Times New Roman" w:hAnsi="Times New Roman"/>
          <w:sz w:val="22"/>
          <w:szCs w:val="22"/>
        </w:rPr>
        <w:t>ormula against NA</w:t>
      </w:r>
      <w:r w:rsidRPr="00A90BBF">
        <w:rPr>
          <w:rFonts w:ascii="Times New Roman" w:hAnsi="Times New Roman" w:hint="eastAsia"/>
          <w:sz w:val="22"/>
          <w:szCs w:val="22"/>
        </w:rPr>
        <w:t>SH</w:t>
      </w:r>
      <w:r w:rsidRPr="00A90BBF">
        <w:rPr>
          <w:rFonts w:ascii="Times New Roman" w:hAnsi="Times New Roman"/>
          <w:sz w:val="22"/>
          <w:szCs w:val="22"/>
        </w:rPr>
        <w:t xml:space="preserve"> were obtained by intersecting the targets of the active ingredients with the disease targets </w:t>
      </w:r>
      <w:r>
        <w:rPr>
          <w:rFonts w:ascii="Times New Roman" w:hAnsi="Times New Roman"/>
          <w:sz w:val="22"/>
          <w:szCs w:val="22"/>
        </w:rPr>
        <w:t>to c</w:t>
      </w:r>
      <w:r w:rsidRPr="00A90BBF">
        <w:rPr>
          <w:rFonts w:ascii="Times New Roman" w:hAnsi="Times New Roman"/>
          <w:sz w:val="22"/>
          <w:szCs w:val="22"/>
        </w:rPr>
        <w:t>reate a drug-compound-target network file based on the above potential targets</w:t>
      </w:r>
      <w:r>
        <w:rPr>
          <w:rFonts w:ascii="Times New Roman" w:hAnsi="Times New Roman"/>
          <w:sz w:val="22"/>
          <w:szCs w:val="22"/>
        </w:rPr>
        <w:t>. The targets were</w:t>
      </w:r>
      <w:r w:rsidRPr="00A90BBF">
        <w:rPr>
          <w:rFonts w:ascii="Times New Roman" w:hAnsi="Times New Roman"/>
          <w:sz w:val="22"/>
          <w:szCs w:val="22"/>
        </w:rPr>
        <w:t xml:space="preserve"> import</w:t>
      </w:r>
      <w:r>
        <w:rPr>
          <w:rFonts w:ascii="Times New Roman" w:hAnsi="Times New Roman"/>
          <w:sz w:val="22"/>
          <w:szCs w:val="22"/>
        </w:rPr>
        <w:t>ed by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0BBF">
        <w:rPr>
          <w:rFonts w:ascii="Times New Roman" w:hAnsi="Times New Roman"/>
          <w:sz w:val="22"/>
          <w:szCs w:val="22"/>
        </w:rPr>
        <w:t>Cytoscape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3.8.2 software to build a drug-compound-target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0BBF">
        <w:rPr>
          <w:rFonts w:ascii="Times New Roman" w:hAnsi="Times New Roman"/>
          <w:sz w:val="22"/>
          <w:szCs w:val="22"/>
        </w:rPr>
        <w:t>visualization network.</w:t>
      </w:r>
      <w:bookmarkStart w:id="7" w:name="OLE_LINK32"/>
      <w:r w:rsidRPr="00A90BBF">
        <w:rPr>
          <w:rFonts w:ascii="Times New Roman" w:hAnsi="Times New Roman"/>
          <w:sz w:val="22"/>
          <w:szCs w:val="22"/>
        </w:rPr>
        <w:t xml:space="preserve"> The nodes of the network diagram </w:t>
      </w:r>
      <w:bookmarkEnd w:id="7"/>
      <w:r>
        <w:rPr>
          <w:rFonts w:ascii="Times New Roman" w:hAnsi="Times New Roman"/>
          <w:sz w:val="22"/>
          <w:szCs w:val="22"/>
        </w:rPr>
        <w:t>were</w:t>
      </w:r>
      <w:r w:rsidRPr="00A90BBF">
        <w:rPr>
          <w:rFonts w:ascii="Times New Roman" w:hAnsi="Times New Roman"/>
          <w:sz w:val="22"/>
          <w:szCs w:val="22"/>
        </w:rPr>
        <w:t xml:space="preserve"> herbs, component</w:t>
      </w:r>
      <w:r>
        <w:rPr>
          <w:rFonts w:ascii="Times New Roman" w:hAnsi="Times New Roman"/>
          <w:sz w:val="22"/>
          <w:szCs w:val="22"/>
        </w:rPr>
        <w:t>s</w:t>
      </w:r>
      <w:r w:rsidRPr="00A90BBF">
        <w:rPr>
          <w:rFonts w:ascii="Times New Roman" w:hAnsi="Times New Roman"/>
          <w:sz w:val="22"/>
          <w:szCs w:val="22"/>
        </w:rPr>
        <w:t>, and target</w:t>
      </w:r>
      <w:r>
        <w:rPr>
          <w:rFonts w:ascii="Times New Roman" w:hAnsi="Times New Roman"/>
          <w:sz w:val="22"/>
          <w:szCs w:val="22"/>
        </w:rPr>
        <w:t>s</w:t>
      </w:r>
      <w:r w:rsidRPr="00A90BBF">
        <w:rPr>
          <w:rFonts w:ascii="Times New Roman" w:hAnsi="Times New Roman"/>
          <w:sz w:val="22"/>
          <w:szCs w:val="22"/>
        </w:rPr>
        <w:t xml:space="preserve">. The interrelationships between the nodes </w:t>
      </w:r>
      <w:r>
        <w:rPr>
          <w:rFonts w:ascii="Times New Roman" w:hAnsi="Times New Roman"/>
          <w:sz w:val="22"/>
          <w:szCs w:val="22"/>
        </w:rPr>
        <w:t>were</w:t>
      </w:r>
      <w:r w:rsidRPr="00A90BBF">
        <w:rPr>
          <w:rFonts w:ascii="Times New Roman" w:hAnsi="Times New Roman"/>
          <w:sz w:val="22"/>
          <w:szCs w:val="22"/>
        </w:rPr>
        <w:t xml:space="preserve"> represented </w:t>
      </w:r>
      <w:r>
        <w:rPr>
          <w:rFonts w:ascii="Times New Roman" w:hAnsi="Times New Roman"/>
          <w:sz w:val="22"/>
          <w:szCs w:val="22"/>
        </w:rPr>
        <w:t>by</w:t>
      </w:r>
      <w:r w:rsidRPr="00A90BBF">
        <w:rPr>
          <w:rFonts w:ascii="Times New Roman" w:hAnsi="Times New Roman"/>
          <w:sz w:val="22"/>
          <w:szCs w:val="22"/>
        </w:rPr>
        <w:t xml:space="preserve"> edges. The </w:t>
      </w:r>
      <w:proofErr w:type="spellStart"/>
      <w:r w:rsidRPr="00A90BBF">
        <w:rPr>
          <w:rFonts w:ascii="Times New Roman" w:hAnsi="Times New Roman"/>
          <w:sz w:val="22"/>
          <w:szCs w:val="22"/>
        </w:rPr>
        <w:t>CytoNCA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0BBF">
        <w:rPr>
          <w:rFonts w:ascii="Times New Roman" w:hAnsi="Times New Roman"/>
          <w:sz w:val="22"/>
          <w:szCs w:val="22"/>
        </w:rPr>
        <w:t>Cytoscape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plug-in was used to analyze the network diagram, and the </w:t>
      </w:r>
      <w:r w:rsidRPr="00A90BBF">
        <w:rPr>
          <w:rFonts w:ascii="Times New Roman" w:hAnsi="Times New Roman"/>
          <w:sz w:val="22"/>
          <w:szCs w:val="22"/>
        </w:rPr>
        <w:lastRenderedPageBreak/>
        <w:t xml:space="preserve">results were exported to obtain the main active ingredients and core targets for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 against NA</w:t>
      </w:r>
      <w:r w:rsidRPr="00A90BBF">
        <w:rPr>
          <w:rFonts w:ascii="Times New Roman" w:hAnsi="Times New Roman" w:hint="eastAsia"/>
          <w:sz w:val="22"/>
          <w:szCs w:val="22"/>
        </w:rPr>
        <w:t>SH</w:t>
      </w:r>
      <w:r w:rsidRPr="00A90BBF">
        <w:rPr>
          <w:rFonts w:ascii="Times New Roman" w:hAnsi="Times New Roman"/>
          <w:sz w:val="22"/>
          <w:szCs w:val="22"/>
        </w:rPr>
        <w:t>.</w:t>
      </w:r>
    </w:p>
    <w:p w14:paraId="0248289F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254B0DAA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Construction of a PPI network</w:t>
      </w:r>
    </w:p>
    <w:p w14:paraId="4B580B8D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 xml:space="preserve">PPI network analysis was performed </w:t>
      </w:r>
      <w:r>
        <w:rPr>
          <w:rFonts w:ascii="Times New Roman" w:hAnsi="Times New Roman"/>
          <w:sz w:val="22"/>
          <w:szCs w:val="22"/>
        </w:rPr>
        <w:t>with the</w:t>
      </w:r>
      <w:r w:rsidRPr="00A90BBF">
        <w:rPr>
          <w:rFonts w:ascii="Times New Roman" w:hAnsi="Times New Roman"/>
          <w:sz w:val="22"/>
          <w:szCs w:val="22"/>
        </w:rPr>
        <w:t xml:space="preserve"> STRING database and </w:t>
      </w:r>
      <w:proofErr w:type="spellStart"/>
      <w:r w:rsidRPr="00A90BBF">
        <w:rPr>
          <w:rFonts w:ascii="Times New Roman" w:hAnsi="Times New Roman"/>
          <w:sz w:val="22"/>
          <w:szCs w:val="22"/>
        </w:rPr>
        <w:t>Cytoscape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3.8.2 software. The targets of the active chemical components were imported into the STRING platform to obtain PPI networks of drug targets, and the obtained </w:t>
      </w:r>
      <w:proofErr w:type="spellStart"/>
      <w:r w:rsidRPr="00A90BBF">
        <w:rPr>
          <w:rFonts w:ascii="Times New Roman" w:hAnsi="Times New Roman"/>
          <w:sz w:val="22"/>
          <w:szCs w:val="22"/>
        </w:rPr>
        <w:t>interaction.tsv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files were imported into </w:t>
      </w:r>
      <w:proofErr w:type="spellStart"/>
      <w:r w:rsidRPr="00A90BBF">
        <w:rPr>
          <w:rFonts w:ascii="Times New Roman" w:hAnsi="Times New Roman"/>
          <w:sz w:val="22"/>
          <w:szCs w:val="22"/>
        </w:rPr>
        <w:t>Cytoscape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3.8.2 software. The </w:t>
      </w:r>
      <w:proofErr w:type="spellStart"/>
      <w:r w:rsidRPr="00A90BBF">
        <w:rPr>
          <w:rFonts w:ascii="Times New Roman" w:hAnsi="Times New Roman"/>
          <w:sz w:val="22"/>
          <w:szCs w:val="22"/>
        </w:rPr>
        <w:t>CytoHubba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plug-in is used to analyze the network, and the top 100 targets are ranked by MCC for graphical analysis to further filter the core targets.</w:t>
      </w:r>
    </w:p>
    <w:p w14:paraId="0BBFF412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5E0313D4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GO and KEGG pathway enrichment analysis</w:t>
      </w:r>
    </w:p>
    <w:p w14:paraId="371C9C2F" w14:textId="77777777" w:rsidR="00443116" w:rsidRPr="00A90BBF" w:rsidRDefault="00443116" w:rsidP="00443116">
      <w:pPr>
        <w:widowControl/>
        <w:spacing w:line="480" w:lineRule="auto"/>
        <w:rPr>
          <w:rFonts w:ascii="Times New Roman" w:hAnsi="Times New Roman"/>
          <w:kern w:val="0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O</w:t>
      </w:r>
      <w:r w:rsidRPr="00A90BBF">
        <w:rPr>
          <w:rFonts w:ascii="Times New Roman" w:hAnsi="Times New Roman"/>
          <w:sz w:val="22"/>
          <w:szCs w:val="22"/>
        </w:rPr>
        <w:t xml:space="preserve"> and KEGG pathway enrichment analysis enrichment analysis of PPI core targets </w:t>
      </w:r>
      <w:proofErr w:type="gramStart"/>
      <w:r w:rsidRPr="00A90BBF">
        <w:rPr>
          <w:rFonts w:ascii="Times New Roman" w:hAnsi="Times New Roman"/>
          <w:sz w:val="22"/>
          <w:szCs w:val="22"/>
        </w:rPr>
        <w:t>w</w:t>
      </w:r>
      <w:r w:rsidRPr="00A90BBF">
        <w:rPr>
          <w:rFonts w:ascii="Times New Roman" w:hAnsi="Times New Roman" w:hint="eastAsia"/>
          <w:sz w:val="22"/>
          <w:szCs w:val="22"/>
        </w:rPr>
        <w:t>ere</w:t>
      </w:r>
      <w:proofErr w:type="gramEnd"/>
      <w:r w:rsidRPr="00A90BBF">
        <w:rPr>
          <w:rFonts w:ascii="Times New Roman" w:hAnsi="Times New Roman"/>
          <w:sz w:val="22"/>
          <w:szCs w:val="22"/>
        </w:rPr>
        <w:t xml:space="preserve"> performed using the </w:t>
      </w:r>
      <w:proofErr w:type="spellStart"/>
      <w:r w:rsidRPr="00A90BBF">
        <w:rPr>
          <w:rFonts w:ascii="Times New Roman" w:hAnsi="Times New Roman"/>
          <w:sz w:val="22"/>
          <w:szCs w:val="22"/>
        </w:rPr>
        <w:t>Metascape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platform. The 100 core targets in the PPI network were imported into the </w:t>
      </w:r>
      <w:proofErr w:type="spellStart"/>
      <w:r w:rsidRPr="00A90BBF">
        <w:rPr>
          <w:rFonts w:ascii="Times New Roman" w:hAnsi="Times New Roman"/>
          <w:sz w:val="22"/>
          <w:szCs w:val="22"/>
        </w:rPr>
        <w:t>Metascape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platform for GO and KEGG enrichment analysis, and the genus "homo sapiens" was selected with </w:t>
      </w:r>
      <w:r>
        <w:rPr>
          <w:rFonts w:ascii="Times New Roman" w:hAnsi="Times New Roman"/>
          <w:i/>
          <w:iCs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4ABE">
        <w:rPr>
          <w:rFonts w:ascii="Times New Roman" w:hAnsi="Times New Roman" w:hint="eastAsia"/>
          <w:sz w:val="22"/>
          <w:szCs w:val="22"/>
        </w:rPr>
        <w:t>≤</w:t>
      </w:r>
      <w:r w:rsidRPr="00244ABE">
        <w:rPr>
          <w:rFonts w:ascii="Times New Roman" w:hAnsi="Times New Roman"/>
          <w:sz w:val="22"/>
          <w:szCs w:val="22"/>
        </w:rPr>
        <w:t>0</w:t>
      </w:r>
      <w:r w:rsidRPr="00A90BBF">
        <w:rPr>
          <w:rFonts w:ascii="Times New Roman" w:hAnsi="Times New Roman"/>
          <w:sz w:val="22"/>
          <w:szCs w:val="22"/>
        </w:rPr>
        <w:t>.01</w:t>
      </w:r>
      <w:r>
        <w:rPr>
          <w:rFonts w:ascii="Times New Roman" w:hAnsi="Times New Roman"/>
          <w:sz w:val="22"/>
          <w:szCs w:val="22"/>
        </w:rPr>
        <w:t>.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Pr="00A90BBF">
        <w:rPr>
          <w:rFonts w:ascii="Times New Roman" w:hAnsi="Times New Roman"/>
          <w:sz w:val="22"/>
          <w:szCs w:val="22"/>
        </w:rPr>
        <w:t>hree categories</w:t>
      </w:r>
      <w:r>
        <w:rPr>
          <w:rFonts w:ascii="Times New Roman" w:hAnsi="Times New Roman"/>
          <w:sz w:val="22"/>
          <w:szCs w:val="22"/>
        </w:rPr>
        <w:t>,</w:t>
      </w:r>
      <w:r w:rsidRPr="00A90BBF">
        <w:rPr>
          <w:rFonts w:ascii="Times New Roman" w:hAnsi="Times New Roman"/>
          <w:sz w:val="22"/>
          <w:szCs w:val="22"/>
        </w:rPr>
        <w:t xml:space="preserve"> biological processes, cellular components, molecular functions</w:t>
      </w:r>
      <w:r>
        <w:rPr>
          <w:rFonts w:ascii="Times New Roman" w:hAnsi="Times New Roman"/>
          <w:sz w:val="22"/>
          <w:szCs w:val="22"/>
        </w:rPr>
        <w:t>, and</w:t>
      </w:r>
      <w:r w:rsidRPr="00A90BBF">
        <w:rPr>
          <w:rFonts w:ascii="Times New Roman" w:hAnsi="Times New Roman"/>
          <w:sz w:val="22"/>
          <w:szCs w:val="22"/>
        </w:rPr>
        <w:t xml:space="preserve"> KEGG enrichment analysis were performed.</w:t>
      </w:r>
    </w:p>
    <w:p w14:paraId="5FA08DB1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2D68983E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Molecular docking</w:t>
      </w:r>
    </w:p>
    <w:p w14:paraId="20A54D4E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 xml:space="preserve">Using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A90BBF">
        <w:rPr>
          <w:rFonts w:ascii="Times New Roman" w:hAnsi="Times New Roman"/>
          <w:sz w:val="22"/>
          <w:szCs w:val="22"/>
        </w:rPr>
        <w:t xml:space="preserve">PubChem database and </w:t>
      </w:r>
      <w:proofErr w:type="spellStart"/>
      <w:r w:rsidRPr="00A90BBF">
        <w:rPr>
          <w:rFonts w:ascii="Times New Roman" w:hAnsi="Times New Roman"/>
          <w:sz w:val="22"/>
          <w:szCs w:val="22"/>
        </w:rPr>
        <w:t>AutoDock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software, the docking energy between the overlapped proteins and chemical ingredients of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 </w:t>
      </w:r>
      <w:r>
        <w:rPr>
          <w:rFonts w:ascii="Times New Roman" w:hAnsi="Times New Roman"/>
          <w:sz w:val="22"/>
          <w:szCs w:val="22"/>
        </w:rPr>
        <w:t>were</w:t>
      </w:r>
      <w:r w:rsidRPr="00A90BBF">
        <w:rPr>
          <w:rFonts w:ascii="Times New Roman" w:hAnsi="Times New Roman"/>
          <w:sz w:val="22"/>
          <w:szCs w:val="22"/>
        </w:rPr>
        <w:t xml:space="preserve"> calculated. </w:t>
      </w:r>
      <w:r>
        <w:rPr>
          <w:rFonts w:ascii="Times New Roman" w:hAnsi="Times New Roman"/>
          <w:sz w:val="22"/>
          <w:szCs w:val="22"/>
        </w:rPr>
        <w:t>If</w:t>
      </w:r>
      <w:r w:rsidRPr="00A90BBF">
        <w:rPr>
          <w:rFonts w:ascii="Times New Roman" w:hAnsi="Times New Roman"/>
          <w:sz w:val="22"/>
          <w:szCs w:val="22"/>
        </w:rPr>
        <w:t xml:space="preserve"> the binding force </w:t>
      </w:r>
      <w:r>
        <w:rPr>
          <w:rFonts w:ascii="Times New Roman" w:hAnsi="Times New Roman"/>
          <w:sz w:val="22"/>
          <w:szCs w:val="22"/>
        </w:rPr>
        <w:t>is</w:t>
      </w:r>
      <w:r w:rsidRPr="00A90BBF">
        <w:rPr>
          <w:rFonts w:ascii="Times New Roman" w:hAnsi="Times New Roman"/>
          <w:sz w:val="22"/>
          <w:szCs w:val="22"/>
        </w:rPr>
        <w:t xml:space="preserve"> less than 0, </w:t>
      </w:r>
      <w:r>
        <w:rPr>
          <w:rFonts w:ascii="Times New Roman" w:hAnsi="Times New Roman"/>
          <w:sz w:val="22"/>
          <w:szCs w:val="22"/>
        </w:rPr>
        <w:t xml:space="preserve">then </w:t>
      </w:r>
      <w:r w:rsidRPr="00A90BBF">
        <w:rPr>
          <w:rFonts w:ascii="Times New Roman" w:hAnsi="Times New Roman"/>
          <w:sz w:val="22"/>
          <w:szCs w:val="22"/>
        </w:rPr>
        <w:t>the ligand and the receptor can bind spontaneously. The docking score value of the binding activity between the component and the target met two standards: bind</w:t>
      </w:r>
      <w:r>
        <w:rPr>
          <w:rFonts w:ascii="Times New Roman" w:hAnsi="Times New Roman"/>
          <w:sz w:val="22"/>
          <w:szCs w:val="22"/>
        </w:rPr>
        <w:t>ing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 w:rsidRPr="00A90BBF">
        <w:rPr>
          <w:rFonts w:ascii="Times New Roman" w:hAnsi="Times New Roman"/>
          <w:sz w:val="22"/>
          <w:szCs w:val="22"/>
        </w:rPr>
        <w:lastRenderedPageBreak/>
        <w:t xml:space="preserve">tighter than 5-ASA and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A90BBF">
        <w:rPr>
          <w:rFonts w:ascii="Times New Roman" w:hAnsi="Times New Roman"/>
          <w:sz w:val="22"/>
          <w:szCs w:val="22"/>
        </w:rPr>
        <w:t xml:space="preserve">binding force below </w:t>
      </w:r>
      <w:r>
        <w:rPr>
          <w:rFonts w:ascii="Times New Roman" w:hAnsi="Times New Roman"/>
          <w:sz w:val="22"/>
          <w:szCs w:val="22"/>
        </w:rPr>
        <w:t>−</w:t>
      </w:r>
      <w:r w:rsidRPr="00A90BBF">
        <w:rPr>
          <w:rFonts w:ascii="Times New Roman" w:hAnsi="Times New Roman"/>
          <w:sz w:val="22"/>
          <w:szCs w:val="22"/>
        </w:rPr>
        <w:t>5.5 to further filter the targets related to the treatment of NA</w:t>
      </w:r>
      <w:r w:rsidRPr="00A90BBF">
        <w:rPr>
          <w:rFonts w:ascii="Times New Roman" w:hAnsi="Times New Roman" w:hint="eastAsia"/>
          <w:sz w:val="22"/>
          <w:szCs w:val="22"/>
        </w:rPr>
        <w:t>SH</w:t>
      </w:r>
      <w:r w:rsidRPr="00A90BBF">
        <w:rPr>
          <w:rFonts w:ascii="Times New Roman" w:hAnsi="Times New Roman"/>
          <w:sz w:val="22"/>
          <w:szCs w:val="22"/>
        </w:rPr>
        <w:t xml:space="preserve"> by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formula.</w:t>
      </w:r>
    </w:p>
    <w:p w14:paraId="00936775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31F496DF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Oil Red O staining</w:t>
      </w:r>
    </w:p>
    <w:p w14:paraId="0F4CB8AA" w14:textId="77777777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A90BBF">
        <w:rPr>
          <w:rFonts w:ascii="Times New Roman" w:hAnsi="Times New Roman"/>
          <w:sz w:val="22"/>
          <w:szCs w:val="22"/>
        </w:rPr>
        <w:t>ntracellular lipid accumulation</w:t>
      </w:r>
      <w:r>
        <w:rPr>
          <w:rFonts w:ascii="Times New Roman" w:hAnsi="Times New Roman"/>
          <w:sz w:val="22"/>
          <w:szCs w:val="22"/>
        </w:rPr>
        <w:t xml:space="preserve"> was determined by O</w:t>
      </w:r>
      <w:r w:rsidRPr="00A90BBF">
        <w:rPr>
          <w:rFonts w:ascii="Times New Roman" w:hAnsi="Times New Roman"/>
          <w:sz w:val="22"/>
          <w:szCs w:val="22"/>
        </w:rPr>
        <w:t xml:space="preserve">il </w:t>
      </w:r>
      <w:r>
        <w:rPr>
          <w:rFonts w:ascii="Times New Roman" w:hAnsi="Times New Roman"/>
          <w:sz w:val="22"/>
          <w:szCs w:val="22"/>
        </w:rPr>
        <w:t>R</w:t>
      </w:r>
      <w:r w:rsidRPr="00A90BBF">
        <w:rPr>
          <w:rFonts w:ascii="Times New Roman" w:hAnsi="Times New Roman"/>
          <w:sz w:val="22"/>
          <w:szCs w:val="22"/>
        </w:rPr>
        <w:t xml:space="preserve">ed O staining. Mouse hepatocytes were stimulated </w:t>
      </w:r>
      <w:r>
        <w:rPr>
          <w:rFonts w:ascii="Times New Roman" w:hAnsi="Times New Roman"/>
          <w:sz w:val="22"/>
          <w:szCs w:val="22"/>
        </w:rPr>
        <w:t>by</w:t>
      </w:r>
      <w:r w:rsidRPr="00A90BBF">
        <w:rPr>
          <w:rFonts w:ascii="Times New Roman" w:hAnsi="Times New Roman"/>
          <w:sz w:val="22"/>
          <w:szCs w:val="22"/>
        </w:rPr>
        <w:t xml:space="preserve"> 0.75</w:t>
      </w:r>
      <w:r>
        <w:rPr>
          <w:rFonts w:ascii="Times New Roman" w:hAnsi="Times New Roman"/>
          <w:sz w:val="22"/>
          <w:szCs w:val="22"/>
        </w:rPr>
        <w:t> mM</w:t>
      </w:r>
      <w:r w:rsidRPr="00A90BBF">
        <w:rPr>
          <w:rFonts w:ascii="Times New Roman" w:hAnsi="Times New Roman"/>
          <w:sz w:val="22"/>
          <w:szCs w:val="22"/>
        </w:rPr>
        <w:t xml:space="preserve"> FFA, with or without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 extract (1.25 </w:t>
      </w:r>
      <w:proofErr w:type="spellStart"/>
      <w:r w:rsidRPr="00A90BBF">
        <w:rPr>
          <w:rFonts w:ascii="Times New Roman" w:hAnsi="Times New Roman"/>
          <w:sz w:val="22"/>
          <w:szCs w:val="22"/>
        </w:rPr>
        <w:t>μg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/ml) for 24 h. Then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A90BBF">
        <w:rPr>
          <w:rFonts w:ascii="Times New Roman" w:hAnsi="Times New Roman"/>
          <w:sz w:val="22"/>
          <w:szCs w:val="22"/>
        </w:rPr>
        <w:t xml:space="preserve">hepatocytes were fixed in 4% paraformaldehyde for 0.5 h and stained </w:t>
      </w:r>
      <w:r>
        <w:rPr>
          <w:rFonts w:ascii="Times New Roman" w:hAnsi="Times New Roman"/>
          <w:sz w:val="22"/>
          <w:szCs w:val="22"/>
        </w:rPr>
        <w:t>with</w:t>
      </w:r>
      <w:r w:rsidRPr="00A90BBF">
        <w:rPr>
          <w:rFonts w:ascii="Times New Roman" w:hAnsi="Times New Roman"/>
          <w:sz w:val="22"/>
          <w:szCs w:val="22"/>
        </w:rPr>
        <w:t xml:space="preserve"> Oil ed O solution for 0.5 h. </w:t>
      </w:r>
      <w:r>
        <w:rPr>
          <w:rFonts w:ascii="Times New Roman" w:hAnsi="Times New Roman"/>
          <w:sz w:val="22"/>
          <w:szCs w:val="22"/>
        </w:rPr>
        <w:t>The</w:t>
      </w:r>
      <w:r w:rsidRPr="00A90BBF">
        <w:rPr>
          <w:rFonts w:ascii="Times New Roman" w:hAnsi="Times New Roman"/>
          <w:sz w:val="22"/>
          <w:szCs w:val="22"/>
        </w:rPr>
        <w:t xml:space="preserve"> stained hepatocytes were rinsed with 60% isopropanol and counterstained with hematoxylin. After wash</w:t>
      </w:r>
      <w:r>
        <w:rPr>
          <w:rFonts w:ascii="Times New Roman" w:hAnsi="Times New Roman"/>
          <w:sz w:val="22"/>
          <w:szCs w:val="22"/>
        </w:rPr>
        <w:t>ing</w:t>
      </w:r>
      <w:r w:rsidRPr="00A90BBF">
        <w:rPr>
          <w:rFonts w:ascii="Times New Roman" w:hAnsi="Times New Roman"/>
          <w:sz w:val="22"/>
          <w:szCs w:val="22"/>
        </w:rPr>
        <w:t xml:space="preserve"> with distilled water, the stained lipid droplets within cells were observed </w:t>
      </w:r>
      <w:r>
        <w:rPr>
          <w:rFonts w:ascii="Times New Roman" w:hAnsi="Times New Roman"/>
          <w:sz w:val="22"/>
          <w:szCs w:val="22"/>
        </w:rPr>
        <w:t>with</w:t>
      </w:r>
      <w:r w:rsidRPr="00A90BBF">
        <w:rPr>
          <w:rFonts w:ascii="Times New Roman" w:hAnsi="Times New Roman"/>
          <w:sz w:val="22"/>
          <w:szCs w:val="22"/>
        </w:rPr>
        <w:t xml:space="preserve"> an inverted microscope.</w:t>
      </w:r>
    </w:p>
    <w:p w14:paraId="0D5513F6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13EB770F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Cell viability assay</w:t>
      </w:r>
    </w:p>
    <w:p w14:paraId="4B433C80" w14:textId="15A16703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bookmarkStart w:id="8" w:name="OLE_LINK59"/>
      <w:bookmarkStart w:id="9" w:name="_Hlk90909824"/>
      <w:r w:rsidRPr="00A90BBF">
        <w:rPr>
          <w:rFonts w:ascii="Times New Roman" w:hAnsi="Times New Roman"/>
          <w:sz w:val="22"/>
          <w:szCs w:val="22"/>
        </w:rPr>
        <w:t>Mouse hepatocytes</w:t>
      </w:r>
      <w:bookmarkEnd w:id="8"/>
      <w:r w:rsidRPr="00A90BBF">
        <w:rPr>
          <w:rFonts w:ascii="Times New Roman" w:hAnsi="Times New Roman"/>
          <w:sz w:val="22"/>
          <w:szCs w:val="22"/>
        </w:rPr>
        <w:t xml:space="preserve"> </w:t>
      </w:r>
      <w:bookmarkEnd w:id="9"/>
      <w:r w:rsidRPr="00A90BBF">
        <w:rPr>
          <w:rFonts w:ascii="Times New Roman" w:hAnsi="Times New Roman"/>
          <w:sz w:val="22"/>
          <w:szCs w:val="22"/>
        </w:rPr>
        <w:t>were seeded in 96-well plates at a density of 5×10</w:t>
      </w:r>
      <w:r w:rsidRPr="00A90BBF">
        <w:rPr>
          <w:rFonts w:ascii="Times New Roman" w:hAnsi="Times New Roman"/>
          <w:sz w:val="22"/>
          <w:szCs w:val="22"/>
          <w:vertAlign w:val="superscript"/>
        </w:rPr>
        <w:t>3</w:t>
      </w:r>
      <w:r w:rsidRPr="00A90BBF">
        <w:rPr>
          <w:rFonts w:ascii="Times New Roman" w:hAnsi="Times New Roman"/>
          <w:sz w:val="22"/>
          <w:szCs w:val="22"/>
        </w:rPr>
        <w:t xml:space="preserve"> cells/well. After 24 h, cells were incubated in DEME (</w:t>
      </w:r>
      <w:r w:rsidR="00B55C4E">
        <w:rPr>
          <w:sz w:val="22"/>
          <w:szCs w:val="22"/>
        </w:rPr>
        <w:t>#</w:t>
      </w:r>
      <w:r w:rsidR="00B55C4E">
        <w:rPr>
          <w:rFonts w:ascii="Times New Roman" w:hAnsi="Times New Roman"/>
          <w:sz w:val="22"/>
          <w:szCs w:val="22"/>
        </w:rPr>
        <w:t xml:space="preserve">SH30243.01, </w:t>
      </w:r>
      <w:proofErr w:type="spellStart"/>
      <w:r w:rsidR="00B55C4E">
        <w:rPr>
          <w:rFonts w:ascii="Times New Roman" w:hAnsi="Times New Roman"/>
          <w:sz w:val="22"/>
          <w:szCs w:val="22"/>
        </w:rPr>
        <w:t>HyClone</w:t>
      </w:r>
      <w:proofErr w:type="spellEnd"/>
      <w:r w:rsidR="00B55C4E">
        <w:rPr>
          <w:rFonts w:ascii="Times New Roman" w:hAnsi="Times New Roman"/>
          <w:sz w:val="22"/>
          <w:szCs w:val="22"/>
        </w:rPr>
        <w:t>,</w:t>
      </w:r>
      <w:r w:rsidR="00B55C4E" w:rsidRPr="00931499">
        <w:rPr>
          <w:rFonts w:ascii="Times New Roman" w:hAnsi="Times New Roman"/>
          <w:sz w:val="22"/>
          <w:szCs w:val="22"/>
        </w:rPr>
        <w:t xml:space="preserve"> Logan, UT, United States</w:t>
      </w:r>
      <w:r w:rsidRPr="00A90BBF">
        <w:rPr>
          <w:rFonts w:ascii="Times New Roman" w:hAnsi="Times New Roman"/>
          <w:sz w:val="22"/>
          <w:szCs w:val="22"/>
        </w:rPr>
        <w:t>) containing 0.75</w:t>
      </w:r>
      <w:r>
        <w:rPr>
          <w:rFonts w:ascii="Times New Roman" w:hAnsi="Times New Roman"/>
          <w:sz w:val="22"/>
          <w:szCs w:val="22"/>
        </w:rPr>
        <w:t> mM</w:t>
      </w:r>
      <w:r w:rsidRPr="00A90BBF">
        <w:rPr>
          <w:rFonts w:ascii="Times New Roman" w:hAnsi="Times New Roman"/>
          <w:sz w:val="22"/>
          <w:szCs w:val="22"/>
        </w:rPr>
        <w:t xml:space="preserve"> of FFA, with or without 60% ethanol extract of </w:t>
      </w:r>
      <w:proofErr w:type="spellStart"/>
      <w:r w:rsidRPr="00A90BBF">
        <w:rPr>
          <w:rFonts w:ascii="Times New Roman" w:hAnsi="Times New Roman"/>
          <w:sz w:val="22"/>
          <w:szCs w:val="22"/>
        </w:rPr>
        <w:t>Quzhi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formula treatment at </w:t>
      </w:r>
      <w:bookmarkStart w:id="10" w:name="OLE_LINK58"/>
      <w:r w:rsidRPr="00A90BBF">
        <w:rPr>
          <w:rFonts w:ascii="Times New Roman" w:hAnsi="Times New Roman"/>
          <w:sz w:val="22"/>
          <w:szCs w:val="22"/>
        </w:rPr>
        <w:t>0.625, 1.25, 2.5</w:t>
      </w:r>
      <w:r>
        <w:rPr>
          <w:rFonts w:ascii="Times New Roman" w:hAnsi="Times New Roman"/>
          <w:sz w:val="22"/>
          <w:szCs w:val="22"/>
        </w:rPr>
        <w:t>,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A90BBF">
        <w:rPr>
          <w:rFonts w:ascii="Times New Roman" w:hAnsi="Times New Roman"/>
          <w:sz w:val="22"/>
          <w:szCs w:val="22"/>
        </w:rPr>
        <w:t xml:space="preserve"> 5</w:t>
      </w:r>
      <w:bookmarkEnd w:id="10"/>
      <w:r w:rsidRPr="00A90B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0BBF">
        <w:rPr>
          <w:rFonts w:ascii="Times New Roman" w:hAnsi="Times New Roman"/>
          <w:sz w:val="22"/>
          <w:szCs w:val="22"/>
        </w:rPr>
        <w:t>μg</w:t>
      </w:r>
      <w:proofErr w:type="spellEnd"/>
      <w:r w:rsidRPr="00A90BBF">
        <w:rPr>
          <w:rFonts w:ascii="Times New Roman" w:hAnsi="Times New Roman"/>
          <w:sz w:val="22"/>
          <w:szCs w:val="22"/>
        </w:rPr>
        <w:t>/m</w:t>
      </w:r>
      <w:r>
        <w:rPr>
          <w:rFonts w:ascii="Times New Roman" w:hAnsi="Times New Roman"/>
          <w:sz w:val="22"/>
          <w:szCs w:val="22"/>
        </w:rPr>
        <w:t>L</w:t>
      </w:r>
      <w:r w:rsidRPr="00A90BBF">
        <w:rPr>
          <w:rFonts w:ascii="Times New Roman" w:hAnsi="Times New Roman"/>
          <w:sz w:val="22"/>
          <w:szCs w:val="22"/>
        </w:rPr>
        <w:t xml:space="preserve"> for another 24 h. </w:t>
      </w:r>
      <w:r>
        <w:rPr>
          <w:rFonts w:ascii="Times New Roman" w:hAnsi="Times New Roman"/>
          <w:sz w:val="22"/>
          <w:szCs w:val="22"/>
        </w:rPr>
        <w:t>C</w:t>
      </w:r>
      <w:r w:rsidRPr="00A90BBF">
        <w:rPr>
          <w:rFonts w:ascii="Times New Roman" w:hAnsi="Times New Roman"/>
          <w:sz w:val="22"/>
          <w:szCs w:val="22"/>
        </w:rPr>
        <w:t xml:space="preserve">ell viability was </w:t>
      </w:r>
      <w:r>
        <w:rPr>
          <w:rFonts w:ascii="Times New Roman" w:hAnsi="Times New Roman"/>
          <w:sz w:val="22"/>
          <w:szCs w:val="22"/>
        </w:rPr>
        <w:t>measured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 w:rsidRPr="00A90BBF">
        <w:rPr>
          <w:rFonts w:ascii="Times New Roman" w:hAnsi="Times New Roman"/>
          <w:sz w:val="22"/>
          <w:szCs w:val="22"/>
        </w:rPr>
        <w:t xml:space="preserve"> CCK-8 assay kit</w:t>
      </w:r>
      <w:r>
        <w:rPr>
          <w:rFonts w:ascii="Times New Roman" w:hAnsi="Times New Roman"/>
          <w:sz w:val="22"/>
          <w:szCs w:val="22"/>
        </w:rPr>
        <w:t>s</w:t>
      </w:r>
      <w:r w:rsidRPr="00A90BBF">
        <w:rPr>
          <w:rFonts w:ascii="Times New Roman" w:hAnsi="Times New Roman"/>
          <w:sz w:val="22"/>
          <w:szCs w:val="22"/>
        </w:rPr>
        <w:t xml:space="preserve"> (</w:t>
      </w:r>
      <w:bookmarkStart w:id="11" w:name="OLE_LINK60"/>
      <w:r w:rsidR="00B55C4E">
        <w:rPr>
          <w:rFonts w:ascii="Times New Roman" w:hAnsi="Times New Roman"/>
          <w:sz w:val="22"/>
          <w:szCs w:val="22"/>
        </w:rPr>
        <w:t>#</w:t>
      </w:r>
      <w:r w:rsidR="00B55C4E" w:rsidRPr="00931499">
        <w:rPr>
          <w:rFonts w:ascii="Times New Roman" w:hAnsi="Times New Roman"/>
          <w:sz w:val="22"/>
          <w:szCs w:val="22"/>
        </w:rPr>
        <w:t>G021-1-1</w:t>
      </w:r>
      <w:r w:rsidR="00B55C4E">
        <w:rPr>
          <w:rFonts w:ascii="Times New Roman" w:hAnsi="Times New Roman"/>
          <w:sz w:val="22"/>
          <w:szCs w:val="22"/>
        </w:rPr>
        <w:t xml:space="preserve">, Nanjing </w:t>
      </w:r>
      <w:proofErr w:type="spellStart"/>
      <w:r w:rsidR="00B55C4E">
        <w:rPr>
          <w:rFonts w:ascii="Times New Roman" w:hAnsi="Times New Roman"/>
          <w:sz w:val="22"/>
          <w:szCs w:val="22"/>
        </w:rPr>
        <w:t>Jiancheng</w:t>
      </w:r>
      <w:proofErr w:type="spellEnd"/>
      <w:r w:rsidR="00B55C4E">
        <w:rPr>
          <w:rFonts w:ascii="Times New Roman" w:hAnsi="Times New Roman"/>
          <w:sz w:val="22"/>
          <w:szCs w:val="22"/>
        </w:rPr>
        <w:t xml:space="preserve"> Bio,</w:t>
      </w:r>
      <w:bookmarkEnd w:id="11"/>
      <w:r w:rsidR="00B55C4E">
        <w:rPr>
          <w:rFonts w:ascii="Times New Roman" w:hAnsi="Times New Roman"/>
          <w:sz w:val="22"/>
          <w:szCs w:val="22"/>
        </w:rPr>
        <w:t xml:space="preserve"> </w:t>
      </w:r>
      <w:r w:rsidR="00B55C4E" w:rsidRPr="00931499">
        <w:rPr>
          <w:rFonts w:ascii="Times New Roman" w:hAnsi="Times New Roman"/>
          <w:sz w:val="22"/>
          <w:szCs w:val="22"/>
        </w:rPr>
        <w:t>Nanjing, China</w:t>
      </w:r>
      <w:r w:rsidRPr="00A90BBF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following</w:t>
      </w:r>
      <w:r w:rsidRPr="00A90BBF">
        <w:rPr>
          <w:rFonts w:ascii="Times New Roman" w:hAnsi="Times New Roman"/>
          <w:sz w:val="22"/>
          <w:szCs w:val="22"/>
        </w:rPr>
        <w:t xml:space="preserve"> the manufacturer’s instruction</w:t>
      </w:r>
      <w:r>
        <w:rPr>
          <w:rFonts w:ascii="Times New Roman" w:hAnsi="Times New Roman"/>
          <w:sz w:val="22"/>
          <w:szCs w:val="22"/>
        </w:rPr>
        <w:t>s</w:t>
      </w:r>
      <w:r w:rsidRPr="00A90BBF">
        <w:rPr>
          <w:rFonts w:ascii="Times New Roman" w:hAnsi="Times New Roman"/>
          <w:sz w:val="22"/>
          <w:szCs w:val="22"/>
        </w:rPr>
        <w:t>.</w:t>
      </w:r>
    </w:p>
    <w:p w14:paraId="6D74C59D" w14:textId="77777777" w:rsidR="00443116" w:rsidRDefault="00443116" w:rsidP="00443116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33CE08BA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Quantitative real-time PCR</w:t>
      </w:r>
    </w:p>
    <w:p w14:paraId="0231A89B" w14:textId="26AE9CDE" w:rsidR="00443116" w:rsidRPr="00A90BBF" w:rsidRDefault="00443116" w:rsidP="00443116">
      <w:pPr>
        <w:spacing w:line="480" w:lineRule="auto"/>
        <w:rPr>
          <w:rFonts w:ascii="Times New Roman" w:hAnsi="Times New Roman"/>
          <w:sz w:val="22"/>
          <w:szCs w:val="22"/>
        </w:rPr>
      </w:pPr>
      <w:r w:rsidRPr="00A90BBF">
        <w:rPr>
          <w:rFonts w:ascii="Times New Roman" w:hAnsi="Times New Roman"/>
          <w:sz w:val="22"/>
          <w:szCs w:val="22"/>
        </w:rPr>
        <w:t xml:space="preserve">The total RNA was extracted from liver or hepatocytes with </w:t>
      </w:r>
      <w:proofErr w:type="spellStart"/>
      <w:r w:rsidRPr="00A90BBF">
        <w:rPr>
          <w:rFonts w:ascii="Times New Roman" w:hAnsi="Times New Roman"/>
          <w:sz w:val="22"/>
          <w:szCs w:val="22"/>
        </w:rPr>
        <w:t>Trizol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reagent (</w:t>
      </w:r>
      <w:r w:rsidR="00B55C4E">
        <w:rPr>
          <w:rFonts w:ascii="Times New Roman" w:hAnsi="Times New Roman"/>
          <w:sz w:val="22"/>
          <w:szCs w:val="22"/>
        </w:rPr>
        <w:t>#</w:t>
      </w:r>
      <w:r w:rsidR="00B55C4E" w:rsidRPr="003E0A48">
        <w:rPr>
          <w:rFonts w:ascii="Times New Roman" w:hAnsi="Times New Roman"/>
          <w:sz w:val="22"/>
          <w:szCs w:val="22"/>
        </w:rPr>
        <w:t>B511311-0100</w:t>
      </w:r>
      <w:r w:rsidR="00B55C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55C4E">
        <w:rPr>
          <w:rFonts w:ascii="Times New Roman" w:hAnsi="Times New Roman"/>
          <w:sz w:val="22"/>
          <w:szCs w:val="22"/>
        </w:rPr>
        <w:t>Sangon</w:t>
      </w:r>
      <w:proofErr w:type="spellEnd"/>
      <w:r w:rsidR="00B55C4E">
        <w:rPr>
          <w:rFonts w:ascii="Times New Roman" w:hAnsi="Times New Roman"/>
          <w:sz w:val="22"/>
          <w:szCs w:val="22"/>
        </w:rPr>
        <w:t xml:space="preserve"> Biotech, </w:t>
      </w:r>
      <w:bookmarkStart w:id="12" w:name="_Hlk95235189"/>
      <w:r w:rsidR="00B55C4E" w:rsidRPr="003E0A48">
        <w:rPr>
          <w:rFonts w:ascii="Times New Roman" w:hAnsi="Times New Roman"/>
          <w:sz w:val="22"/>
          <w:szCs w:val="22"/>
        </w:rPr>
        <w:t>Shanghai, China</w:t>
      </w:r>
      <w:bookmarkEnd w:id="12"/>
      <w:r w:rsidRPr="00A90BBF">
        <w:rPr>
          <w:rFonts w:ascii="Times New Roman" w:hAnsi="Times New Roman"/>
          <w:sz w:val="22"/>
          <w:szCs w:val="22"/>
        </w:rPr>
        <w:t>), following the manufacturer’s instruction</w:t>
      </w:r>
      <w:r>
        <w:rPr>
          <w:rFonts w:ascii="Times New Roman" w:hAnsi="Times New Roman"/>
          <w:sz w:val="22"/>
          <w:szCs w:val="22"/>
        </w:rPr>
        <w:t>s</w:t>
      </w:r>
      <w:r w:rsidRPr="00A90BBF">
        <w:rPr>
          <w:rFonts w:ascii="Times New Roman" w:hAnsi="Times New Roman"/>
          <w:sz w:val="22"/>
          <w:szCs w:val="22"/>
        </w:rPr>
        <w:t xml:space="preserve">. cDNA synthesis was performed </w:t>
      </w:r>
      <w:r>
        <w:rPr>
          <w:rFonts w:ascii="Times New Roman" w:hAnsi="Times New Roman"/>
          <w:sz w:val="22"/>
          <w:szCs w:val="22"/>
        </w:rPr>
        <w:t>with</w:t>
      </w:r>
      <w:r w:rsidRPr="00A90BBF">
        <w:rPr>
          <w:rFonts w:ascii="Times New Roman" w:hAnsi="Times New Roman"/>
          <w:sz w:val="22"/>
          <w:szCs w:val="22"/>
        </w:rPr>
        <w:t xml:space="preserve"> reverse transcriptase kit</w:t>
      </w:r>
      <w:r>
        <w:rPr>
          <w:rFonts w:ascii="Times New Roman" w:hAnsi="Times New Roman"/>
          <w:sz w:val="22"/>
          <w:szCs w:val="22"/>
        </w:rPr>
        <w:t>s</w:t>
      </w:r>
      <w:r w:rsidRPr="00A90BBF">
        <w:rPr>
          <w:rFonts w:ascii="Times New Roman" w:hAnsi="Times New Roman"/>
          <w:sz w:val="22"/>
          <w:szCs w:val="22"/>
        </w:rPr>
        <w:t xml:space="preserve"> (</w:t>
      </w:r>
      <w:r w:rsidR="00B55C4E">
        <w:rPr>
          <w:rFonts w:ascii="Times New Roman" w:hAnsi="Times New Roman"/>
          <w:sz w:val="22"/>
          <w:szCs w:val="22"/>
        </w:rPr>
        <w:t xml:space="preserve">#RR047, Takara, </w:t>
      </w:r>
      <w:r w:rsidR="00B55C4E" w:rsidRPr="0026236D">
        <w:rPr>
          <w:rFonts w:ascii="Times New Roman" w:hAnsi="Times New Roman"/>
          <w:sz w:val="22"/>
          <w:szCs w:val="22"/>
        </w:rPr>
        <w:t xml:space="preserve">Shiga, </w:t>
      </w:r>
      <w:r w:rsidR="00B55C4E" w:rsidRPr="008A4009">
        <w:rPr>
          <w:rFonts w:ascii="Times New Roman" w:hAnsi="Times New Roman"/>
          <w:sz w:val="22"/>
          <w:szCs w:val="22"/>
        </w:rPr>
        <w:t>Japan</w:t>
      </w:r>
      <w:r w:rsidRPr="00A90BBF">
        <w:rPr>
          <w:rFonts w:ascii="Times New Roman" w:hAnsi="Times New Roman"/>
          <w:sz w:val="22"/>
          <w:szCs w:val="22"/>
        </w:rPr>
        <w:t xml:space="preserve">). The mRNA </w:t>
      </w:r>
      <w:r w:rsidRPr="00A90BBF">
        <w:rPr>
          <w:rFonts w:ascii="Times New Roman" w:hAnsi="Times New Roman"/>
          <w:sz w:val="22"/>
          <w:szCs w:val="22"/>
        </w:rPr>
        <w:lastRenderedPageBreak/>
        <w:t xml:space="preserve">levels of genes involved in inflammation and </w:t>
      </w:r>
      <w:r>
        <w:rPr>
          <w:rFonts w:ascii="Times New Roman" w:hAnsi="Times New Roman"/>
          <w:sz w:val="22"/>
          <w:szCs w:val="22"/>
        </w:rPr>
        <w:t>l</w:t>
      </w:r>
      <w:r w:rsidRPr="00A90BBF">
        <w:rPr>
          <w:rFonts w:ascii="Times New Roman" w:hAnsi="Times New Roman"/>
          <w:sz w:val="22"/>
          <w:szCs w:val="22"/>
        </w:rPr>
        <w:t xml:space="preserve">ipid metabolism were </w:t>
      </w:r>
      <w:r>
        <w:rPr>
          <w:rFonts w:ascii="Times New Roman" w:hAnsi="Times New Roman"/>
          <w:sz w:val="22"/>
          <w:szCs w:val="22"/>
        </w:rPr>
        <w:t>assayed</w:t>
      </w:r>
      <w:r w:rsidRPr="00A90BBF">
        <w:rPr>
          <w:rFonts w:ascii="Times New Roman" w:hAnsi="Times New Roman"/>
          <w:sz w:val="22"/>
          <w:szCs w:val="22"/>
        </w:rPr>
        <w:t xml:space="preserve"> by </w:t>
      </w:r>
      <w:proofErr w:type="spellStart"/>
      <w:r>
        <w:rPr>
          <w:rFonts w:ascii="Times New Roman" w:hAnsi="Times New Roman"/>
          <w:sz w:val="22"/>
          <w:szCs w:val="22"/>
        </w:rPr>
        <w:t>q</w:t>
      </w:r>
      <w:r w:rsidRPr="00A90BBF">
        <w:rPr>
          <w:rFonts w:ascii="Times New Roman" w:hAnsi="Times New Roman"/>
          <w:sz w:val="22"/>
          <w:szCs w:val="22"/>
        </w:rPr>
        <w:t>RT</w:t>
      </w:r>
      <w:proofErr w:type="spellEnd"/>
      <w:r w:rsidRPr="00A90BBF">
        <w:rPr>
          <w:rFonts w:ascii="Times New Roman" w:hAnsi="Times New Roman"/>
          <w:sz w:val="22"/>
          <w:szCs w:val="22"/>
        </w:rPr>
        <w:t>-PCR using SYBR Green qPCR Master Mix kit (</w:t>
      </w:r>
      <w:r w:rsidR="00B55C4E">
        <w:rPr>
          <w:rFonts w:ascii="Times New Roman" w:hAnsi="Times New Roman"/>
          <w:sz w:val="22"/>
          <w:szCs w:val="22"/>
        </w:rPr>
        <w:t xml:space="preserve">#RR820B, Takara, </w:t>
      </w:r>
      <w:r w:rsidR="00B55C4E" w:rsidRPr="0026236D">
        <w:rPr>
          <w:rFonts w:ascii="Times New Roman" w:hAnsi="Times New Roman"/>
          <w:sz w:val="22"/>
          <w:szCs w:val="22"/>
        </w:rPr>
        <w:t>Shiga,</w:t>
      </w:r>
      <w:r w:rsidR="00B55C4E">
        <w:rPr>
          <w:rFonts w:ascii="Times New Roman" w:hAnsi="Times New Roman"/>
          <w:sz w:val="22"/>
          <w:szCs w:val="22"/>
        </w:rPr>
        <w:t xml:space="preserve"> Japan</w:t>
      </w:r>
      <w:r w:rsidRPr="00A90BBF">
        <w:rPr>
          <w:rFonts w:ascii="Times New Roman" w:hAnsi="Times New Roman"/>
          <w:sz w:val="22"/>
          <w:szCs w:val="22"/>
        </w:rPr>
        <w:t xml:space="preserve">). The primer sequences </w:t>
      </w:r>
      <w:r>
        <w:rPr>
          <w:rFonts w:ascii="Times New Roman" w:hAnsi="Times New Roman"/>
          <w:sz w:val="22"/>
          <w:szCs w:val="22"/>
        </w:rPr>
        <w:t>are</w:t>
      </w:r>
      <w:r w:rsidRPr="00A90BBF">
        <w:rPr>
          <w:rFonts w:ascii="Times New Roman" w:hAnsi="Times New Roman"/>
          <w:sz w:val="22"/>
          <w:szCs w:val="22"/>
        </w:rPr>
        <w:t xml:space="preserve"> shown in </w:t>
      </w:r>
      <w:r w:rsidRPr="00431E54">
        <w:rPr>
          <w:rFonts w:ascii="Times New Roman" w:hAnsi="Times New Roman"/>
          <w:bCs/>
          <w:sz w:val="22"/>
          <w:szCs w:val="22"/>
        </w:rPr>
        <w:t xml:space="preserve">Table </w:t>
      </w:r>
      <w:r w:rsidR="00983043">
        <w:rPr>
          <w:rFonts w:ascii="Times New Roman" w:hAnsi="Times New Roman"/>
          <w:bCs/>
          <w:sz w:val="22"/>
          <w:szCs w:val="22"/>
        </w:rPr>
        <w:t>1</w:t>
      </w:r>
      <w:r w:rsidRPr="00A90BB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R</w:t>
      </w:r>
      <w:r w:rsidRPr="00A90BBF">
        <w:rPr>
          <w:rFonts w:ascii="Times New Roman" w:hAnsi="Times New Roman"/>
          <w:sz w:val="22"/>
          <w:szCs w:val="22"/>
        </w:rPr>
        <w:t xml:space="preserve">elative </w:t>
      </w:r>
      <w:r>
        <w:rPr>
          <w:rFonts w:ascii="Times New Roman" w:hAnsi="Times New Roman"/>
          <w:sz w:val="22"/>
          <w:szCs w:val="22"/>
        </w:rPr>
        <w:t xml:space="preserve">mRNA </w:t>
      </w:r>
      <w:r w:rsidRPr="00A90BBF">
        <w:rPr>
          <w:rFonts w:ascii="Times New Roman" w:hAnsi="Times New Roman"/>
          <w:sz w:val="22"/>
          <w:szCs w:val="22"/>
        </w:rPr>
        <w:t xml:space="preserve">expression </w:t>
      </w:r>
      <w:r>
        <w:rPr>
          <w:rFonts w:ascii="Times New Roman" w:hAnsi="Times New Roman"/>
          <w:sz w:val="22"/>
          <w:szCs w:val="22"/>
        </w:rPr>
        <w:t>was</w:t>
      </w:r>
      <w:r w:rsidRPr="00A90BBF">
        <w:rPr>
          <w:rFonts w:ascii="Times New Roman" w:hAnsi="Times New Roman"/>
          <w:sz w:val="22"/>
          <w:szCs w:val="22"/>
        </w:rPr>
        <w:t xml:space="preserve"> calculated using GAPDH as an internal control.</w:t>
      </w:r>
    </w:p>
    <w:p w14:paraId="1F550FC9" w14:textId="30547BFB" w:rsidR="00983043" w:rsidRPr="00431E54" w:rsidRDefault="00983043" w:rsidP="00983043">
      <w:pPr>
        <w:widowControl/>
        <w:spacing w:line="48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431E54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31E5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E4965"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r w:rsidRPr="00BE4965">
        <w:rPr>
          <w:rFonts w:ascii="Times New Roman" w:hAnsi="Times New Roman"/>
          <w:b/>
          <w:bCs/>
          <w:sz w:val="24"/>
          <w:szCs w:val="24"/>
        </w:rPr>
        <w:t>PCR</w:t>
      </w:r>
      <w:r w:rsidRPr="004205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431E54">
        <w:rPr>
          <w:rFonts w:ascii="Times New Roman" w:hAnsi="Times New Roman"/>
          <w:b/>
          <w:bCs/>
          <w:sz w:val="24"/>
          <w:szCs w:val="24"/>
        </w:rPr>
        <w:t>rimers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1070"/>
        <w:gridCol w:w="978"/>
        <w:gridCol w:w="7234"/>
      </w:tblGrid>
      <w:tr w:rsidR="00983043" w:rsidRPr="007A3409" w14:paraId="3A5C4DE2" w14:textId="77777777" w:rsidTr="00110BFA">
        <w:trPr>
          <w:trHeight w:val="395"/>
        </w:trPr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4B6006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AF7D06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Sequence 5</w:t>
            </w:r>
            <w:r w:rsidRPr="00431E5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′</w:t>
            </w:r>
            <w:r w:rsidRPr="00431E5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-3</w:t>
            </w:r>
            <w:r w:rsidRPr="00431E5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′</w:t>
            </w:r>
          </w:p>
        </w:tc>
      </w:tr>
      <w:tr w:rsidR="00983043" w:rsidRPr="007A3409" w14:paraId="359D1F88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B6F0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FABP1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D4E0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7E5A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TGGTCCGCAATGAGTTCACCCT</w:t>
            </w:r>
          </w:p>
        </w:tc>
      </w:tr>
      <w:tr w:rsidR="00983043" w:rsidRPr="007A3409" w14:paraId="52D5604E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F8044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A512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5A64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CCAGCTTGACGACTGCCTTGACTT</w:t>
            </w:r>
          </w:p>
        </w:tc>
      </w:tr>
      <w:tr w:rsidR="00983043" w:rsidRPr="007A3409" w14:paraId="07123680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7018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CD36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27CD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D092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GACTGGGACCATTGGTGATGA</w:t>
            </w:r>
          </w:p>
        </w:tc>
      </w:tr>
      <w:tr w:rsidR="00983043" w:rsidRPr="007A3409" w14:paraId="1C1F2306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18E96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F245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42D9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AAGGCCATCTCTACCATGCC</w:t>
            </w:r>
          </w:p>
        </w:tc>
      </w:tr>
      <w:tr w:rsidR="00983043" w:rsidRPr="007A3409" w14:paraId="34416ACA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6CC0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DGAT1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FE35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05DA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TCCGTCCAGGGTGGTAGTG</w:t>
            </w:r>
          </w:p>
        </w:tc>
      </w:tr>
      <w:tr w:rsidR="00983043" w:rsidRPr="007A3409" w14:paraId="5CF23441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AA51E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52A7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B9F1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TGAACAAAGAATCTTGCAGACGA</w:t>
            </w:r>
          </w:p>
        </w:tc>
      </w:tr>
      <w:tr w:rsidR="00983043" w:rsidRPr="007A3409" w14:paraId="485F1E15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9C6C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HMGCR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A9E8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1ED7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ATCATGTGCTGCTTCGGCTGCAT</w:t>
            </w:r>
          </w:p>
        </w:tc>
      </w:tr>
      <w:tr w:rsidR="00983043" w:rsidRPr="007A3409" w14:paraId="40AB5016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1EEC3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6E3B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9A89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AAATTGGACGACCCTCACGGCT</w:t>
            </w:r>
          </w:p>
        </w:tc>
      </w:tr>
      <w:tr w:rsidR="00983043" w:rsidRPr="007A3409" w14:paraId="04CFCAB8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3F6D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ED7F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041F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TAGTCCTTCCTACCCCAATTTCC</w:t>
            </w:r>
          </w:p>
        </w:tc>
      </w:tr>
      <w:tr w:rsidR="00983043" w:rsidRPr="007A3409" w14:paraId="2483C90A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A3D3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AB38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6DD2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TTGGTCCTTAGCCACTCCTTC</w:t>
            </w:r>
          </w:p>
        </w:tc>
      </w:tr>
      <w:tr w:rsidR="00983043" w:rsidRPr="007A3409" w14:paraId="48688290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3D80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IL10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5287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0F23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TGAATTCCCTGGGTGAGAAG</w:t>
            </w:r>
          </w:p>
        </w:tc>
      </w:tr>
      <w:tr w:rsidR="00983043" w:rsidRPr="007A3409" w14:paraId="3B324B38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5A7C6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527D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4D1F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CTCTTCACCTGCTCCACTGC</w:t>
            </w:r>
          </w:p>
        </w:tc>
      </w:tr>
      <w:tr w:rsidR="00983043" w:rsidRPr="007A3409" w14:paraId="40C2E3E5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7C96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TNFα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46C8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3AA6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CATCTTCTCAAAATTCGAGTGACAA</w:t>
            </w:r>
          </w:p>
        </w:tc>
      </w:tr>
      <w:tr w:rsidR="00983043" w:rsidRPr="007A3409" w14:paraId="23CA8BE1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DB01F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4645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7099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TGGGAGTAGACAAGGTACAACCC</w:t>
            </w:r>
          </w:p>
        </w:tc>
      </w:tr>
      <w:tr w:rsidR="00983043" w:rsidRPr="007A3409" w14:paraId="23B1ED9C" w14:textId="77777777" w:rsidTr="00110BFA">
        <w:trPr>
          <w:trHeight w:val="320"/>
        </w:trPr>
        <w:tc>
          <w:tcPr>
            <w:tcW w:w="10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4F89A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F8D3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7811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AGGAGTAAGAAACCCTGGAC</w:t>
            </w:r>
          </w:p>
        </w:tc>
      </w:tr>
      <w:tr w:rsidR="00983043" w:rsidRPr="007A3409" w14:paraId="58C5CDE5" w14:textId="77777777" w:rsidTr="00110BFA">
        <w:trPr>
          <w:trHeight w:val="320"/>
        </w:trPr>
        <w:tc>
          <w:tcPr>
            <w:tcW w:w="10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F52D72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DD5BF7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1DB56C" w14:textId="77777777" w:rsidR="00983043" w:rsidRPr="00431E54" w:rsidRDefault="00983043" w:rsidP="00110BFA">
            <w:pPr>
              <w:widowControl/>
              <w:spacing w:line="480" w:lineRule="auto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CTGGGATGGAATTGTGAG</w:t>
            </w:r>
          </w:p>
        </w:tc>
      </w:tr>
    </w:tbl>
    <w:p w14:paraId="461DFE67" w14:textId="77777777" w:rsidR="00443116" w:rsidRPr="00983043" w:rsidRDefault="00443116" w:rsidP="00443116">
      <w:pPr>
        <w:spacing w:line="480" w:lineRule="auto"/>
        <w:rPr>
          <w:rFonts w:ascii="Times New Roman" w:hAnsi="Times New Roman" w:hint="eastAsia"/>
          <w:b/>
          <w:sz w:val="22"/>
          <w:szCs w:val="22"/>
        </w:rPr>
      </w:pPr>
    </w:p>
    <w:p w14:paraId="07B582D3" w14:textId="77777777" w:rsidR="00443116" w:rsidRPr="00431E54" w:rsidRDefault="00443116" w:rsidP="00443116">
      <w:pPr>
        <w:spacing w:line="48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431E54">
        <w:rPr>
          <w:rFonts w:ascii="Times New Roman" w:hAnsi="Times New Roman"/>
          <w:b/>
          <w:i/>
          <w:iCs/>
          <w:sz w:val="22"/>
          <w:szCs w:val="22"/>
        </w:rPr>
        <w:t>Western blot assays</w:t>
      </w:r>
    </w:p>
    <w:p w14:paraId="5968951E" w14:textId="3F270D47" w:rsidR="00443116" w:rsidRPr="00A90BBF" w:rsidRDefault="00443116" w:rsidP="00443116">
      <w:pPr>
        <w:spacing w:line="480" w:lineRule="auto"/>
        <w:rPr>
          <w:sz w:val="24"/>
          <w:szCs w:val="24"/>
        </w:rPr>
      </w:pPr>
      <w:r w:rsidRPr="00A90BBF">
        <w:rPr>
          <w:rFonts w:ascii="Times New Roman" w:hAnsi="Times New Roman"/>
          <w:sz w:val="22"/>
          <w:szCs w:val="22"/>
        </w:rPr>
        <w:t xml:space="preserve">Liver tissue </w:t>
      </w:r>
      <w:bookmarkStart w:id="13" w:name="_Hlk90909838"/>
      <w:r>
        <w:rPr>
          <w:rFonts w:ascii="Times New Roman" w:hAnsi="Times New Roman"/>
          <w:sz w:val="22"/>
          <w:szCs w:val="22"/>
        </w:rPr>
        <w:t>was</w:t>
      </w:r>
      <w:r w:rsidRPr="00A90BBF">
        <w:rPr>
          <w:rFonts w:ascii="Times New Roman" w:hAnsi="Times New Roman"/>
          <w:sz w:val="22"/>
          <w:szCs w:val="22"/>
        </w:rPr>
        <w:t xml:space="preserve"> homogenized </w:t>
      </w:r>
      <w:r>
        <w:rPr>
          <w:rFonts w:ascii="Times New Roman" w:hAnsi="Times New Roman"/>
          <w:sz w:val="22"/>
          <w:szCs w:val="22"/>
        </w:rPr>
        <w:t>in</w:t>
      </w:r>
      <w:r w:rsidRPr="00A90BBF">
        <w:rPr>
          <w:rFonts w:ascii="Times New Roman" w:hAnsi="Times New Roman"/>
          <w:sz w:val="22"/>
          <w:szCs w:val="22"/>
        </w:rPr>
        <w:t xml:space="preserve"> 1% Triton 100 and lysed on ice to extract total protein.</w:t>
      </w:r>
      <w:bookmarkEnd w:id="13"/>
      <w:r w:rsidRPr="00A90BBF">
        <w:rPr>
          <w:rFonts w:ascii="Times New Roman" w:hAnsi="Times New Roman"/>
          <w:sz w:val="22"/>
          <w:szCs w:val="22"/>
        </w:rPr>
        <w:t xml:space="preserve"> Mouse hepatocytes</w:t>
      </w:r>
      <w:r w:rsidRPr="00A90BBF">
        <w:t xml:space="preserve"> </w:t>
      </w:r>
      <w:r w:rsidRPr="00A90BBF">
        <w:rPr>
          <w:rFonts w:ascii="Times New Roman" w:hAnsi="Times New Roman"/>
          <w:sz w:val="22"/>
          <w:szCs w:val="22"/>
        </w:rPr>
        <w:t xml:space="preserve">were lysed on ice to extract total protein. </w:t>
      </w:r>
      <w:r>
        <w:rPr>
          <w:rFonts w:ascii="Times New Roman" w:hAnsi="Times New Roman"/>
          <w:sz w:val="22"/>
          <w:szCs w:val="22"/>
        </w:rPr>
        <w:t>T</w:t>
      </w:r>
      <w:r w:rsidRPr="00A90BBF">
        <w:rPr>
          <w:rFonts w:ascii="Times New Roman" w:hAnsi="Times New Roman"/>
          <w:sz w:val="22"/>
          <w:szCs w:val="22"/>
        </w:rPr>
        <w:t xml:space="preserve">he protein samples were separated </w:t>
      </w:r>
      <w:r>
        <w:rPr>
          <w:rFonts w:ascii="Times New Roman" w:hAnsi="Times New Roman"/>
          <w:sz w:val="22"/>
          <w:szCs w:val="22"/>
        </w:rPr>
        <w:t>by</w:t>
      </w:r>
      <w:r w:rsidRPr="00A90BBF">
        <w:rPr>
          <w:rFonts w:ascii="Times New Roman" w:hAnsi="Times New Roman"/>
          <w:sz w:val="22"/>
          <w:szCs w:val="22"/>
        </w:rPr>
        <w:t xml:space="preserve"> 10% SDS-PAGE and transferred to polyvinylidene fluoride (</w:t>
      </w:r>
      <w:r w:rsidR="00B55C4E">
        <w:rPr>
          <w:rFonts w:ascii="Times New Roman" w:hAnsi="Times New Roman"/>
          <w:sz w:val="22"/>
          <w:szCs w:val="22"/>
        </w:rPr>
        <w:t xml:space="preserve">PVDF; #WJ002, </w:t>
      </w:r>
      <w:proofErr w:type="spellStart"/>
      <w:r w:rsidR="00B55C4E">
        <w:rPr>
          <w:rFonts w:ascii="Times New Roman" w:hAnsi="Times New Roman"/>
          <w:sz w:val="22"/>
          <w:szCs w:val="22"/>
        </w:rPr>
        <w:t>EpiZyme</w:t>
      </w:r>
      <w:proofErr w:type="spellEnd"/>
      <w:r w:rsidR="00B55C4E">
        <w:rPr>
          <w:rFonts w:ascii="Times New Roman" w:hAnsi="Times New Roman"/>
          <w:sz w:val="22"/>
          <w:szCs w:val="22"/>
        </w:rPr>
        <w:t xml:space="preserve">, </w:t>
      </w:r>
      <w:r w:rsidR="00B55C4E" w:rsidRPr="003E0A48">
        <w:rPr>
          <w:rFonts w:ascii="Times New Roman" w:hAnsi="Times New Roman"/>
          <w:sz w:val="22"/>
          <w:szCs w:val="22"/>
        </w:rPr>
        <w:t>Shanghai, China</w:t>
      </w:r>
      <w:r w:rsidRPr="00A90BBF">
        <w:rPr>
          <w:rFonts w:ascii="Times New Roman" w:hAnsi="Times New Roman"/>
          <w:sz w:val="22"/>
          <w:szCs w:val="22"/>
        </w:rPr>
        <w:t xml:space="preserve">) membranes. After blocking with 5% nonfat milk, the membranes were incubated with primary antibodies against </w:t>
      </w:r>
      <w:proofErr w:type="spellStart"/>
      <w:r w:rsidRPr="00A90BBF">
        <w:rPr>
          <w:rFonts w:ascii="Times New Roman" w:hAnsi="Times New Roman"/>
          <w:sz w:val="22"/>
          <w:szCs w:val="22"/>
        </w:rPr>
        <w:t>Bip</w:t>
      </w:r>
      <w:proofErr w:type="spellEnd"/>
      <w:r w:rsidRPr="00A90BBF">
        <w:rPr>
          <w:rFonts w:ascii="Times New Roman" w:hAnsi="Times New Roman"/>
          <w:sz w:val="22"/>
          <w:szCs w:val="22"/>
        </w:rPr>
        <w:t xml:space="preserve"> (</w:t>
      </w:r>
      <w:r w:rsidR="00B55C4E">
        <w:rPr>
          <w:rFonts w:ascii="Times New Roman" w:hAnsi="Times New Roman"/>
          <w:sz w:val="22"/>
          <w:szCs w:val="22"/>
        </w:rPr>
        <w:t>#3177S</w:t>
      </w:r>
      <w:r w:rsidRPr="00A90BBF">
        <w:rPr>
          <w:rFonts w:ascii="Times New Roman" w:hAnsi="Times New Roman"/>
          <w:sz w:val="22"/>
          <w:szCs w:val="22"/>
        </w:rPr>
        <w:t>), eIF2α (</w:t>
      </w:r>
      <w:r w:rsidR="00B55C4E">
        <w:rPr>
          <w:rFonts w:ascii="Times New Roman" w:hAnsi="Times New Roman"/>
          <w:sz w:val="22"/>
          <w:szCs w:val="22"/>
        </w:rPr>
        <w:t>#5324S</w:t>
      </w:r>
      <w:r w:rsidRPr="00A90BBF">
        <w:rPr>
          <w:rFonts w:ascii="Times New Roman" w:hAnsi="Times New Roman"/>
          <w:sz w:val="22"/>
          <w:szCs w:val="22"/>
        </w:rPr>
        <w:t>), and β-actin (</w:t>
      </w:r>
      <w:r w:rsidR="00B55C4E">
        <w:rPr>
          <w:rFonts w:ascii="Times New Roman" w:hAnsi="Times New Roman"/>
          <w:sz w:val="22"/>
          <w:szCs w:val="22"/>
        </w:rPr>
        <w:t>#</w:t>
      </w:r>
      <w:r w:rsidR="00B55C4E" w:rsidRPr="00E12DC4">
        <w:rPr>
          <w:rFonts w:ascii="Times New Roman" w:hAnsi="Times New Roman"/>
          <w:sz w:val="22"/>
          <w:szCs w:val="22"/>
        </w:rPr>
        <w:t>4970</w:t>
      </w:r>
      <w:r w:rsidRPr="00A90BBF">
        <w:rPr>
          <w:rFonts w:ascii="Times New Roman" w:hAnsi="Times New Roman"/>
          <w:sz w:val="22"/>
          <w:szCs w:val="22"/>
        </w:rPr>
        <w:t xml:space="preserve">) </w:t>
      </w:r>
      <w:r w:rsidR="00B55C4E">
        <w:rPr>
          <w:rFonts w:ascii="Times New Roman" w:hAnsi="Times New Roman"/>
          <w:sz w:val="22"/>
          <w:szCs w:val="22"/>
        </w:rPr>
        <w:t xml:space="preserve">produced by Cell Signaling Technology </w:t>
      </w:r>
      <w:r w:rsidR="00B55C4E">
        <w:t>(</w:t>
      </w:r>
      <w:r w:rsidR="00B55C4E" w:rsidRPr="00F3258C">
        <w:rPr>
          <w:rFonts w:ascii="Times New Roman" w:hAnsi="Times New Roman"/>
          <w:sz w:val="22"/>
          <w:szCs w:val="22"/>
        </w:rPr>
        <w:t>Danvers, Massachusetts, USA</w:t>
      </w:r>
      <w:r w:rsidR="00B55C4E">
        <w:rPr>
          <w:rFonts w:ascii="Times New Roman" w:hAnsi="Times New Roman"/>
          <w:sz w:val="22"/>
          <w:szCs w:val="22"/>
        </w:rPr>
        <w:t xml:space="preserve">) </w:t>
      </w:r>
      <w:r w:rsidRPr="00A90BBF">
        <w:rPr>
          <w:rFonts w:ascii="Times New Roman" w:hAnsi="Times New Roman"/>
          <w:sz w:val="22"/>
          <w:szCs w:val="22"/>
        </w:rPr>
        <w:t>at 4°C overnight</w:t>
      </w:r>
      <w:r>
        <w:rPr>
          <w:rFonts w:ascii="Times New Roman" w:hAnsi="Times New Roman"/>
          <w:sz w:val="22"/>
          <w:szCs w:val="22"/>
        </w:rPr>
        <w:t xml:space="preserve"> and then with the c</w:t>
      </w:r>
      <w:r w:rsidRPr="00A90BBF">
        <w:rPr>
          <w:rFonts w:ascii="Times New Roman" w:hAnsi="Times New Roman"/>
          <w:sz w:val="22"/>
          <w:szCs w:val="22"/>
        </w:rPr>
        <w:t>orresponding secondary antibodies for 2 h at room temperature</w:t>
      </w:r>
      <w:r>
        <w:rPr>
          <w:rFonts w:ascii="Times New Roman" w:hAnsi="Times New Roman"/>
          <w:sz w:val="22"/>
          <w:szCs w:val="22"/>
        </w:rPr>
        <w:t>.</w:t>
      </w:r>
      <w:r w:rsidRPr="00A90B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Pr="00A90BBF">
        <w:rPr>
          <w:rFonts w:ascii="Times New Roman" w:hAnsi="Times New Roman"/>
          <w:sz w:val="22"/>
          <w:szCs w:val="22"/>
        </w:rPr>
        <w:t>he protein bands were visualized using Omni ECL reagent (</w:t>
      </w:r>
      <w:r w:rsidR="00B55C4E">
        <w:rPr>
          <w:rFonts w:ascii="Times New Roman" w:hAnsi="Times New Roman"/>
          <w:sz w:val="22"/>
          <w:szCs w:val="22"/>
        </w:rPr>
        <w:t xml:space="preserve">#SQ201, </w:t>
      </w:r>
      <w:proofErr w:type="spellStart"/>
      <w:r w:rsidR="00B55C4E">
        <w:rPr>
          <w:rFonts w:ascii="Times New Roman" w:hAnsi="Times New Roman"/>
          <w:sz w:val="22"/>
          <w:szCs w:val="22"/>
        </w:rPr>
        <w:t>EpiZyme</w:t>
      </w:r>
      <w:proofErr w:type="spellEnd"/>
      <w:r w:rsidR="00B55C4E">
        <w:rPr>
          <w:rFonts w:ascii="Times New Roman" w:hAnsi="Times New Roman"/>
          <w:sz w:val="22"/>
          <w:szCs w:val="22"/>
        </w:rPr>
        <w:t xml:space="preserve">, </w:t>
      </w:r>
      <w:r w:rsidR="00B55C4E" w:rsidRPr="003E0A48">
        <w:rPr>
          <w:rFonts w:ascii="Times New Roman" w:hAnsi="Times New Roman"/>
          <w:sz w:val="22"/>
          <w:szCs w:val="22"/>
        </w:rPr>
        <w:t>Shanghai, China</w:t>
      </w:r>
      <w:r w:rsidRPr="00A90BBF">
        <w:rPr>
          <w:rFonts w:ascii="Times New Roman" w:hAnsi="Times New Roman"/>
          <w:sz w:val="22"/>
          <w:szCs w:val="22"/>
        </w:rPr>
        <w:t>).</w:t>
      </w:r>
    </w:p>
    <w:p w14:paraId="2CFD6CDC" w14:textId="77777777" w:rsidR="00D077BA" w:rsidRPr="00443116" w:rsidRDefault="00983043"/>
    <w:sectPr w:rsidR="00D077BA" w:rsidRPr="0044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1"/>
    <w:rsid w:val="00005C24"/>
    <w:rsid w:val="000213B9"/>
    <w:rsid w:val="001B1B7B"/>
    <w:rsid w:val="00443116"/>
    <w:rsid w:val="004544C1"/>
    <w:rsid w:val="007A7638"/>
    <w:rsid w:val="00983043"/>
    <w:rsid w:val="00B55C4E"/>
    <w:rsid w:val="00E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CC68"/>
  <w15:chartTrackingRefBased/>
  <w15:docId w15:val="{BE1AD522-E96C-4E97-BB31-F597BFC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92099</dc:creator>
  <cp:keywords/>
  <dc:description/>
  <cp:lastModifiedBy>Chellie Chen</cp:lastModifiedBy>
  <cp:revision>6</cp:revision>
  <dcterms:created xsi:type="dcterms:W3CDTF">2022-02-18T05:33:00Z</dcterms:created>
  <dcterms:modified xsi:type="dcterms:W3CDTF">2022-02-23T11:29:00Z</dcterms:modified>
</cp:coreProperties>
</file>