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F4" w:rsidRPr="00323D4B" w:rsidRDefault="00EE5AF4" w:rsidP="00EE5AF4">
      <w:pPr>
        <w:adjustRightInd w:val="0"/>
        <w:snapToGrid w:val="0"/>
        <w:spacing w:after="0" w:line="480" w:lineRule="auto"/>
        <w:jc w:val="both"/>
        <w:rPr>
          <w:b/>
        </w:rPr>
      </w:pPr>
      <w:r w:rsidRPr="00323D4B">
        <w:rPr>
          <w:b/>
        </w:rPr>
        <w:t>Supplementary Table 2. Multivariable regression for the TCM syndrome for</w:t>
      </w:r>
      <w:r w:rsidRPr="00323D4B">
        <w:t xml:space="preserve"> </w:t>
      </w:r>
      <w:r w:rsidRPr="00323D4B">
        <w:rPr>
          <w:b/>
        </w:rPr>
        <w:t>qi-deficiency and related biochemistry indexes.</w:t>
      </w:r>
    </w:p>
    <w:tbl>
      <w:tblPr>
        <w:tblW w:w="5362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881"/>
        <w:gridCol w:w="1398"/>
        <w:gridCol w:w="1180"/>
        <w:gridCol w:w="1398"/>
        <w:gridCol w:w="1820"/>
        <w:gridCol w:w="1820"/>
      </w:tblGrid>
      <w:tr w:rsidR="00EE5AF4" w:rsidRPr="00323D4B" w:rsidTr="003664D1">
        <w:trPr>
          <w:trHeight w:val="300"/>
        </w:trPr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rPr>
                <w:b/>
              </w:rPr>
            </w:pPr>
            <w:r w:rsidRPr="00323D4B">
              <w:rPr>
                <w:b/>
              </w:rPr>
              <w:t>Variable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  <w:rPr>
                <w:b/>
              </w:rPr>
            </w:pPr>
            <w:r w:rsidRPr="00323D4B">
              <w:rPr>
                <w:b/>
              </w:rPr>
              <w:t>B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  <w:rPr>
                <w:b/>
              </w:rPr>
            </w:pPr>
            <w:r w:rsidRPr="00323D4B">
              <w:rPr>
                <w:b/>
              </w:rPr>
              <w:t>S.E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  <w:rPr>
                <w:b/>
              </w:rPr>
            </w:pPr>
            <w:r w:rsidRPr="00323D4B">
              <w:rPr>
                <w:b/>
              </w:rPr>
              <w:t>Wals</w:t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  <w:rPr>
                <w:b/>
              </w:rPr>
            </w:pPr>
            <w:r w:rsidRPr="00323D4B">
              <w:rPr>
                <w:b/>
              </w:rPr>
              <w:t>Exp (B)</w:t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  <w:rPr>
                <w:b/>
                <w:i/>
              </w:rPr>
            </w:pPr>
            <w:r w:rsidRPr="00323D4B">
              <w:rPr>
                <w:b/>
                <w:i/>
              </w:rPr>
              <w:t>p</w:t>
            </w:r>
          </w:p>
        </w:tc>
      </w:tr>
      <w:tr w:rsidR="00EE5AF4" w:rsidRPr="00323D4B" w:rsidTr="003664D1">
        <w:trPr>
          <w:trHeight w:val="285"/>
        </w:trPr>
        <w:tc>
          <w:tcPr>
            <w:tcW w:w="991" w:type="pct"/>
            <w:tcBorders>
              <w:top w:val="single" w:sz="4" w:space="0" w:color="auto"/>
            </w:tcBorders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</w:pPr>
            <w:r w:rsidRPr="00323D4B">
              <w:t>BNP</w:t>
            </w:r>
          </w:p>
        </w:tc>
        <w:tc>
          <w:tcPr>
            <w:tcW w:w="736" w:type="pct"/>
            <w:tcBorders>
              <w:top w:val="single" w:sz="4" w:space="0" w:color="auto"/>
            </w:tcBorders>
            <w:noWrap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  <w:rPr>
                <w:color w:val="000000"/>
              </w:rPr>
            </w:pPr>
            <w:r w:rsidRPr="00323D4B">
              <w:rPr>
                <w:color w:val="000000"/>
              </w:rPr>
              <w:t>0.198</w:t>
            </w:r>
          </w:p>
        </w:tc>
        <w:tc>
          <w:tcPr>
            <w:tcW w:w="621" w:type="pct"/>
            <w:tcBorders>
              <w:top w:val="single" w:sz="4" w:space="0" w:color="auto"/>
            </w:tcBorders>
            <w:noWrap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  <w:rPr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</w:tcBorders>
            <w:noWrap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  <w:rPr>
                <w:color w:val="000000"/>
              </w:rPr>
            </w:pPr>
          </w:p>
        </w:tc>
        <w:tc>
          <w:tcPr>
            <w:tcW w:w="958" w:type="pct"/>
            <w:tcBorders>
              <w:top w:val="single" w:sz="4" w:space="0" w:color="auto"/>
            </w:tcBorders>
            <w:noWrap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  <w:rPr>
                <w:color w:val="000000"/>
              </w:rPr>
            </w:pPr>
          </w:p>
        </w:tc>
        <w:tc>
          <w:tcPr>
            <w:tcW w:w="958" w:type="pct"/>
            <w:tcBorders>
              <w:top w:val="single" w:sz="4" w:space="0" w:color="auto"/>
            </w:tcBorders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  <w:rPr>
                <w:color w:val="000000"/>
              </w:rPr>
            </w:pPr>
            <w:r w:rsidRPr="00323D4B">
              <w:rPr>
                <w:color w:val="000000"/>
              </w:rPr>
              <w:t>0.656</w:t>
            </w:r>
          </w:p>
        </w:tc>
      </w:tr>
      <w:tr w:rsidR="00EE5AF4" w:rsidRPr="00323D4B" w:rsidTr="003664D1">
        <w:trPr>
          <w:trHeight w:val="270"/>
        </w:trPr>
        <w:tc>
          <w:tcPr>
            <w:tcW w:w="991" w:type="pct"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</w:pPr>
            <w:r w:rsidRPr="00323D4B">
              <w:t>Cr</w:t>
            </w:r>
          </w:p>
        </w:tc>
        <w:tc>
          <w:tcPr>
            <w:tcW w:w="736" w:type="pct"/>
            <w:noWrap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  <w:rPr>
                <w:color w:val="000000"/>
              </w:rPr>
            </w:pPr>
            <w:r w:rsidRPr="00323D4B">
              <w:rPr>
                <w:color w:val="000000"/>
              </w:rPr>
              <w:t>0.565</w:t>
            </w:r>
          </w:p>
        </w:tc>
        <w:tc>
          <w:tcPr>
            <w:tcW w:w="621" w:type="pct"/>
            <w:noWrap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  <w:rPr>
                <w:color w:val="000000"/>
              </w:rPr>
            </w:pPr>
          </w:p>
        </w:tc>
        <w:tc>
          <w:tcPr>
            <w:tcW w:w="736" w:type="pct"/>
            <w:noWrap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</w:pPr>
          </w:p>
        </w:tc>
        <w:tc>
          <w:tcPr>
            <w:tcW w:w="958" w:type="pct"/>
            <w:noWrap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</w:pPr>
          </w:p>
        </w:tc>
        <w:tc>
          <w:tcPr>
            <w:tcW w:w="958" w:type="pct"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  <w:rPr>
                <w:color w:val="000000"/>
              </w:rPr>
            </w:pPr>
            <w:r w:rsidRPr="00323D4B">
              <w:rPr>
                <w:color w:val="000000"/>
              </w:rPr>
              <w:t>0.452</w:t>
            </w:r>
          </w:p>
        </w:tc>
      </w:tr>
      <w:tr w:rsidR="00EE5AF4" w:rsidRPr="00323D4B" w:rsidTr="003664D1">
        <w:trPr>
          <w:trHeight w:val="270"/>
        </w:trPr>
        <w:tc>
          <w:tcPr>
            <w:tcW w:w="991" w:type="pct"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</w:pPr>
            <w:r w:rsidRPr="00323D4B">
              <w:t>HCY</w:t>
            </w:r>
          </w:p>
        </w:tc>
        <w:tc>
          <w:tcPr>
            <w:tcW w:w="736" w:type="pct"/>
            <w:noWrap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  <w:rPr>
                <w:color w:val="000000"/>
              </w:rPr>
            </w:pPr>
            <w:r w:rsidRPr="00323D4B">
              <w:rPr>
                <w:color w:val="000000"/>
              </w:rPr>
              <w:t>1.386</w:t>
            </w:r>
          </w:p>
        </w:tc>
        <w:tc>
          <w:tcPr>
            <w:tcW w:w="621" w:type="pct"/>
            <w:noWrap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  <w:rPr>
                <w:color w:val="000000"/>
              </w:rPr>
            </w:pPr>
          </w:p>
        </w:tc>
        <w:tc>
          <w:tcPr>
            <w:tcW w:w="736" w:type="pct"/>
            <w:noWrap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</w:pPr>
          </w:p>
        </w:tc>
        <w:tc>
          <w:tcPr>
            <w:tcW w:w="958" w:type="pct"/>
            <w:noWrap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</w:pPr>
          </w:p>
        </w:tc>
        <w:tc>
          <w:tcPr>
            <w:tcW w:w="958" w:type="pct"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  <w:rPr>
                <w:color w:val="000000"/>
              </w:rPr>
            </w:pPr>
            <w:r w:rsidRPr="00323D4B">
              <w:rPr>
                <w:color w:val="000000"/>
              </w:rPr>
              <w:t>0.239</w:t>
            </w:r>
          </w:p>
        </w:tc>
      </w:tr>
      <w:tr w:rsidR="00EE5AF4" w:rsidRPr="00323D4B" w:rsidTr="003664D1">
        <w:trPr>
          <w:trHeight w:val="270"/>
        </w:trPr>
        <w:tc>
          <w:tcPr>
            <w:tcW w:w="991" w:type="pct"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</w:pPr>
            <w:r w:rsidRPr="00323D4B">
              <w:t>LDL</w:t>
            </w:r>
          </w:p>
        </w:tc>
        <w:tc>
          <w:tcPr>
            <w:tcW w:w="736" w:type="pct"/>
            <w:noWrap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  <w:rPr>
                <w:color w:val="000000"/>
              </w:rPr>
            </w:pPr>
            <w:r w:rsidRPr="00323D4B">
              <w:rPr>
                <w:color w:val="000000"/>
              </w:rPr>
              <w:t>0.508</w:t>
            </w:r>
          </w:p>
        </w:tc>
        <w:tc>
          <w:tcPr>
            <w:tcW w:w="621" w:type="pct"/>
            <w:noWrap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  <w:rPr>
                <w:color w:val="000000"/>
              </w:rPr>
            </w:pPr>
          </w:p>
        </w:tc>
        <w:tc>
          <w:tcPr>
            <w:tcW w:w="736" w:type="pct"/>
            <w:noWrap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</w:pPr>
          </w:p>
        </w:tc>
        <w:tc>
          <w:tcPr>
            <w:tcW w:w="958" w:type="pct"/>
            <w:noWrap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</w:pPr>
          </w:p>
        </w:tc>
        <w:tc>
          <w:tcPr>
            <w:tcW w:w="958" w:type="pct"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  <w:rPr>
                <w:color w:val="000000"/>
              </w:rPr>
            </w:pPr>
            <w:r w:rsidRPr="00323D4B">
              <w:rPr>
                <w:color w:val="000000"/>
              </w:rPr>
              <w:t>0.476</w:t>
            </w:r>
          </w:p>
        </w:tc>
      </w:tr>
      <w:tr w:rsidR="00EE5AF4" w:rsidRPr="00323D4B" w:rsidTr="003664D1">
        <w:trPr>
          <w:trHeight w:val="285"/>
        </w:trPr>
        <w:tc>
          <w:tcPr>
            <w:tcW w:w="991" w:type="pct"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</w:pPr>
            <w:r w:rsidRPr="00323D4B">
              <w:t>INR</w:t>
            </w:r>
          </w:p>
        </w:tc>
        <w:tc>
          <w:tcPr>
            <w:tcW w:w="736" w:type="pct"/>
            <w:noWrap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  <w:rPr>
                <w:color w:val="000000"/>
              </w:rPr>
            </w:pPr>
            <w:r w:rsidRPr="00323D4B">
              <w:rPr>
                <w:color w:val="000000"/>
              </w:rPr>
              <w:t>0.737</w:t>
            </w:r>
          </w:p>
        </w:tc>
        <w:tc>
          <w:tcPr>
            <w:tcW w:w="621" w:type="pct"/>
            <w:noWrap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  <w:rPr>
                <w:color w:val="000000"/>
              </w:rPr>
            </w:pPr>
          </w:p>
        </w:tc>
        <w:tc>
          <w:tcPr>
            <w:tcW w:w="736" w:type="pct"/>
            <w:noWrap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</w:pPr>
          </w:p>
        </w:tc>
        <w:tc>
          <w:tcPr>
            <w:tcW w:w="958" w:type="pct"/>
            <w:noWrap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</w:pPr>
          </w:p>
        </w:tc>
        <w:tc>
          <w:tcPr>
            <w:tcW w:w="958" w:type="pct"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  <w:rPr>
                <w:color w:val="000000"/>
              </w:rPr>
            </w:pPr>
            <w:r w:rsidRPr="00323D4B">
              <w:rPr>
                <w:color w:val="000000"/>
              </w:rPr>
              <w:t>0.39</w:t>
            </w:r>
          </w:p>
        </w:tc>
      </w:tr>
      <w:tr w:rsidR="00EE5AF4" w:rsidRPr="00323D4B" w:rsidTr="003664D1">
        <w:trPr>
          <w:trHeight w:val="285"/>
        </w:trPr>
        <w:tc>
          <w:tcPr>
            <w:tcW w:w="991" w:type="pct"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</w:pPr>
            <w:r w:rsidRPr="00323D4B">
              <w:t>HbA1c</w:t>
            </w:r>
          </w:p>
        </w:tc>
        <w:tc>
          <w:tcPr>
            <w:tcW w:w="736" w:type="pct"/>
            <w:noWrap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  <w:rPr>
                <w:color w:val="000000"/>
              </w:rPr>
            </w:pPr>
            <w:r w:rsidRPr="00323D4B">
              <w:rPr>
                <w:color w:val="000000"/>
              </w:rPr>
              <w:t>0.141</w:t>
            </w:r>
          </w:p>
        </w:tc>
        <w:tc>
          <w:tcPr>
            <w:tcW w:w="621" w:type="pct"/>
            <w:noWrap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  <w:rPr>
                <w:color w:val="000000"/>
              </w:rPr>
            </w:pPr>
            <w:r w:rsidRPr="00323D4B">
              <w:rPr>
                <w:color w:val="000000"/>
              </w:rPr>
              <w:t>0.069</w:t>
            </w:r>
          </w:p>
        </w:tc>
        <w:tc>
          <w:tcPr>
            <w:tcW w:w="736" w:type="pct"/>
            <w:noWrap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  <w:rPr>
                <w:color w:val="000000"/>
              </w:rPr>
            </w:pPr>
            <w:r w:rsidRPr="00323D4B">
              <w:rPr>
                <w:color w:val="000000"/>
              </w:rPr>
              <w:t>4.248</w:t>
            </w:r>
          </w:p>
        </w:tc>
        <w:tc>
          <w:tcPr>
            <w:tcW w:w="958" w:type="pct"/>
            <w:noWrap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  <w:rPr>
                <w:color w:val="000000"/>
              </w:rPr>
            </w:pPr>
            <w:r w:rsidRPr="00323D4B">
              <w:rPr>
                <w:color w:val="000000"/>
              </w:rPr>
              <w:t>1.152</w:t>
            </w:r>
          </w:p>
        </w:tc>
        <w:tc>
          <w:tcPr>
            <w:tcW w:w="958" w:type="pct"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  <w:rPr>
                <w:color w:val="000000"/>
              </w:rPr>
            </w:pPr>
            <w:r w:rsidRPr="00323D4B">
              <w:rPr>
                <w:color w:val="000000"/>
              </w:rPr>
              <w:t>0.039</w:t>
            </w:r>
            <w:r w:rsidRPr="00323D4B">
              <w:rPr>
                <w:color w:val="000000"/>
                <w:vertAlign w:val="superscript"/>
              </w:rPr>
              <w:t>*</w:t>
            </w:r>
          </w:p>
        </w:tc>
      </w:tr>
      <w:tr w:rsidR="00EE5AF4" w:rsidRPr="00323D4B" w:rsidTr="003664D1">
        <w:trPr>
          <w:trHeight w:val="285"/>
        </w:trPr>
        <w:tc>
          <w:tcPr>
            <w:tcW w:w="991" w:type="pct"/>
            <w:tcBorders>
              <w:bottom w:val="single" w:sz="4" w:space="0" w:color="auto"/>
            </w:tcBorders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</w:pPr>
            <w:r w:rsidRPr="00323D4B">
              <w:t>Constant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noWrap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  <w:rPr>
                <w:color w:val="000000"/>
              </w:rPr>
            </w:pPr>
            <w:r w:rsidRPr="00323D4B">
              <w:rPr>
                <w:color w:val="000000"/>
              </w:rPr>
              <w:t>0.473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noWrap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  <w:rPr>
                <w:color w:val="000000"/>
              </w:rPr>
            </w:pPr>
            <w:r w:rsidRPr="00323D4B">
              <w:rPr>
                <w:color w:val="000000"/>
              </w:rPr>
              <w:t>0.38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noWrap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  <w:rPr>
                <w:color w:val="000000"/>
              </w:rPr>
            </w:pPr>
            <w:r w:rsidRPr="00323D4B">
              <w:rPr>
                <w:color w:val="000000"/>
              </w:rPr>
              <w:t>1.548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noWrap/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  <w:rPr>
                <w:color w:val="000000"/>
              </w:rPr>
            </w:pPr>
            <w:r w:rsidRPr="00323D4B">
              <w:rPr>
                <w:color w:val="000000"/>
              </w:rPr>
              <w:t>1.605</w:t>
            </w:r>
          </w:p>
        </w:tc>
        <w:tc>
          <w:tcPr>
            <w:tcW w:w="958" w:type="pct"/>
            <w:tcBorders>
              <w:bottom w:val="single" w:sz="4" w:space="0" w:color="auto"/>
            </w:tcBorders>
          </w:tcPr>
          <w:p w:rsidR="00EE5AF4" w:rsidRPr="00323D4B" w:rsidRDefault="00EE5AF4" w:rsidP="003664D1">
            <w:pPr>
              <w:adjustRightInd w:val="0"/>
              <w:snapToGrid w:val="0"/>
              <w:spacing w:after="0" w:line="480" w:lineRule="auto"/>
              <w:jc w:val="center"/>
              <w:rPr>
                <w:color w:val="000000"/>
              </w:rPr>
            </w:pPr>
            <w:r w:rsidRPr="00323D4B">
              <w:rPr>
                <w:color w:val="000000"/>
              </w:rPr>
              <w:t>0.213</w:t>
            </w:r>
          </w:p>
        </w:tc>
      </w:tr>
    </w:tbl>
    <w:p w:rsidR="00EE5AF4" w:rsidRDefault="00EE5AF4" w:rsidP="00EE5AF4">
      <w:pPr>
        <w:spacing w:after="100" w:afterAutospacing="1" w:line="480" w:lineRule="auto"/>
        <w:jc w:val="both"/>
      </w:pPr>
      <w:r w:rsidRPr="00323D4B">
        <w:t xml:space="preserve">Note: </w:t>
      </w:r>
      <w:r w:rsidRPr="00323D4B">
        <w:rPr>
          <w:vertAlign w:val="superscript"/>
        </w:rPr>
        <w:t>*</w:t>
      </w:r>
      <w:r w:rsidRPr="00323D4B">
        <w:rPr>
          <w:i/>
        </w:rPr>
        <w:t>p</w:t>
      </w:r>
      <w:r w:rsidRPr="00323D4B">
        <w:t xml:space="preserve">&lt;0.05 indicates that the difference was statistically significant. BNP, </w:t>
      </w:r>
      <w:r w:rsidRPr="00323D4B">
        <w:rPr>
          <w:color w:val="231F20"/>
        </w:rPr>
        <w:t>brain natriuretic peptide; Cr, creatinine; HCY, homocysteine; LDL, low density lipoprotein cholesterol; INR, international normalized ratio.</w:t>
      </w:r>
    </w:p>
    <w:p w:rsidR="00557A42" w:rsidRPr="00EE5AF4" w:rsidRDefault="00557A42" w:rsidP="00EE5AF4"/>
    <w:sectPr w:rsidR="00557A42" w:rsidRPr="00EE5AF4" w:rsidSect="000D18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B37F6E"/>
    <w:rsid w:val="000D18AC"/>
    <w:rsid w:val="00557A42"/>
    <w:rsid w:val="00B37F6E"/>
    <w:rsid w:val="00EE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2023-01-22T07:52:00Z</dcterms:created>
  <dcterms:modified xsi:type="dcterms:W3CDTF">2023-01-22T07:53:00Z</dcterms:modified>
</cp:coreProperties>
</file>